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1695" w:leader="none"/>
        </w:tabs>
        <w:jc w:val="center"/>
        <w:rPr>
          <w:rFonts w:ascii="Times New Roman" w:hAnsi="Times New Roman"/>
          <w:b/>
          <w:b/>
          <w:bCs/>
          <w:sz w:val="20"/>
          <w:szCs w:val="20"/>
        </w:rPr>
      </w:pPr>
      <w:r>
        <w:drawing>
          <wp:anchor behindDoc="0" distT="0" distB="0" distL="0" distR="0" simplePos="0" locked="0" layoutInCell="1" allowOverlap="1" relativeHeight="2">
            <wp:simplePos x="0" y="0"/>
            <wp:positionH relativeFrom="column">
              <wp:posOffset>40005</wp:posOffset>
            </wp:positionH>
            <wp:positionV relativeFrom="paragraph">
              <wp:posOffset>28575</wp:posOffset>
            </wp:positionV>
            <wp:extent cx="878840" cy="885190"/>
            <wp:effectExtent l="0" t="0" r="0" b="0"/>
            <wp:wrapSquare wrapText="bothSides"/>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29" t="-29" r="-29" b="-29"/>
                    <a:stretch>
                      <a:fillRect/>
                    </a:stretch>
                  </pic:blipFill>
                  <pic:spPr bwMode="auto">
                    <a:xfrm>
                      <a:off x="0" y="0"/>
                      <a:ext cx="878840" cy="885190"/>
                    </a:xfrm>
                    <a:prstGeom prst="rect">
                      <a:avLst/>
                    </a:prstGeom>
                  </pic:spPr>
                </pic:pic>
              </a:graphicData>
            </a:graphic>
          </wp:anchor>
        </w:drawing>
        <mc:AlternateContent>
          <mc:Choice Requires="wps">
            <w:drawing>
              <wp:anchor behindDoc="0" distT="0" distB="0" distL="0" distR="0" simplePos="0" locked="0" layoutInCell="1" allowOverlap="1" relativeHeight="3">
                <wp:simplePos x="0" y="0"/>
                <wp:positionH relativeFrom="column">
                  <wp:posOffset>4937125</wp:posOffset>
                </wp:positionH>
                <wp:positionV relativeFrom="paragraph">
                  <wp:posOffset>43815</wp:posOffset>
                </wp:positionV>
                <wp:extent cx="724535" cy="524510"/>
                <wp:effectExtent l="0" t="0" r="0" b="0"/>
                <wp:wrapSquare wrapText="bothSides"/>
                <wp:docPr id="2" name="Forma1"/>
                <a:graphic xmlns:a="http://schemas.openxmlformats.org/drawingml/2006/main">
                  <a:graphicData uri="http://schemas.microsoft.com/office/word/2010/wordprocessingShape">
                    <wps:wsp>
                      <wps:cNvSpPr txBox="1"/>
                      <wps:spPr>
                        <a:xfrm>
                          <a:off x="0" y="0"/>
                          <a:ext cx="723960" cy="523800"/>
                        </a:xfrm>
                        <a:prstGeom prst="rect">
                          <a:avLst/>
                        </a:prstGeom>
                        <a:noFill/>
                        <a:ln>
                          <a:solidFill>
                            <a:srgbClr val="000000"/>
                          </a:solidFill>
                        </a:ln>
                      </wps:spPr>
                      <wps:txbx>
                        <w:txbxContent>
                          <w:p>
                            <w:pPr>
                              <w:overflowPunct w:val="false"/>
                              <w:jc w:val="center"/>
                              <w:rPr/>
                            </w:pPr>
                            <w:r>
                              <w:rPr>
                                <w:sz w:val="20"/>
                                <w:b/>
                                <w:bCs/>
                              </w:rPr>
                              <w:t>Logo do Parceiro</w:t>
                            </w:r>
                          </w:p>
                        </w:txbxContent>
                      </wps:txbx>
                      <wps:bodyPr wrap="square" lIns="0" rIns="0" tIns="0" bIns="0">
                        <a:spAutoFit/>
                      </wps:bodyPr>
                    </wps:wsp>
                  </a:graphicData>
                </a:graphic>
              </wp:anchor>
            </w:drawing>
          </mc:Choice>
          <mc:Fallback>
            <w:pict>
              <v:shapetype id="_x005F_x0000_t202" coordsize="21600,21600" o:spt="202" path="m,l,21600l21600,21600l21600,xe">
                <v:stroke joinstyle="miter"/>
                <v:path gradientshapeok="t" o:connecttype="rect"/>
              </v:shapetype>
              <v:shape id="shape_0" ID="Forma1" stroked="t" style="position:absolute;margin-left:388.75pt;margin-top:3.45pt;width:56.95pt;height:41.2pt" type="shapetype_202">
                <v:textbox>
                  <w:txbxContent>
                    <w:p>
                      <w:pPr>
                        <w:overflowPunct w:val="false"/>
                        <w:jc w:val="center"/>
                        <w:rPr/>
                      </w:pPr>
                      <w:r>
                        <w:rPr>
                          <w:sz w:val="20"/>
                          <w:b/>
                          <w:bCs/>
                        </w:rPr>
                        <w:t>Logo do Parceiro</w:t>
                      </w:r>
                    </w:p>
                  </w:txbxContent>
                </v:textbox>
                <w10:wrap type="square"/>
                <v:fill o:detectmouseclick="t" on="false"/>
                <v:stroke color="black" joinstyle="round" endcap="flat"/>
              </v:shape>
            </w:pict>
          </mc:Fallback>
        </mc:AlternateContent>
      </w:r>
      <w:r>
        <w:rPr>
          <w:rFonts w:ascii="Times New Roman" w:hAnsi="Times New Roman"/>
          <w:b/>
          <w:bCs/>
          <w:sz w:val="20"/>
          <w:szCs w:val="20"/>
        </w:rPr>
        <w:t>M</w:t>
      </w:r>
      <w:r>
        <w:rPr>
          <w:rFonts w:ascii="Times New Roman" w:hAnsi="Times New Roman"/>
          <w:b/>
          <w:bCs/>
          <w:sz w:val="20"/>
          <w:szCs w:val="20"/>
        </w:rPr>
        <w:t>INISTÉRIO DA EDUCAÇÃO</w:t>
      </w:r>
    </w:p>
    <w:p>
      <w:pPr>
        <w:pStyle w:val="Cabealho"/>
        <w:tabs>
          <w:tab w:val="clear" w:pos="4419"/>
          <w:tab w:val="clear" w:pos="8838"/>
          <w:tab w:val="left" w:pos="1695" w:leader="none"/>
        </w:tabs>
        <w:jc w:val="center"/>
        <w:rPr/>
      </w:pPr>
      <w:r>
        <w:rPr>
          <w:rFonts w:ascii="Times New Roman" w:hAnsi="Times New Roman"/>
          <w:b/>
          <w:bCs/>
          <w:sz w:val="20"/>
          <w:szCs w:val="20"/>
        </w:rPr>
        <w:t>UNIVERSIDADE FEDERAL RURAL DO RIO DE JANEIRO</w:t>
      </w:r>
    </w:p>
    <w:p>
      <w:pPr>
        <w:pStyle w:val="Cabealho"/>
        <w:tabs>
          <w:tab w:val="clear" w:pos="4419"/>
          <w:tab w:val="clear" w:pos="8838"/>
          <w:tab w:val="left" w:pos="1695" w:leader="none"/>
        </w:tabs>
        <w:jc w:val="center"/>
        <w:rPr/>
      </w:pPr>
      <w:r>
        <w:rPr>
          <w:rFonts w:ascii="Times New Roman" w:hAnsi="Times New Roman"/>
          <w:b/>
          <w:bCs/>
          <w:sz w:val="20"/>
          <w:szCs w:val="20"/>
        </w:rPr>
        <w:t>COORDENADORIA DE RELAÇÕES</w:t>
      </w:r>
    </w:p>
    <w:p>
      <w:pPr>
        <w:pStyle w:val="Cabealho"/>
        <w:tabs>
          <w:tab w:val="clear" w:pos="4419"/>
          <w:tab w:val="clear" w:pos="8838"/>
          <w:tab w:val="left" w:pos="1695" w:leader="none"/>
        </w:tabs>
        <w:jc w:val="center"/>
        <w:rPr/>
      </w:pPr>
      <w:r>
        <w:rPr>
          <w:rFonts w:ascii="Times New Roman" w:hAnsi="Times New Roman"/>
          <w:b/>
          <w:bCs/>
          <w:sz w:val="20"/>
          <w:szCs w:val="20"/>
        </w:rPr>
        <w:t>INTERNACIONAIS E INTERINSTITUCIONAIS</w:t>
      </w:r>
    </w:p>
    <w:p>
      <w:pPr>
        <w:pStyle w:val="Cabealho"/>
        <w:jc w:val="both"/>
        <w:rPr>
          <w:sz w:val="24"/>
          <w:szCs w:val="24"/>
        </w:rPr>
      </w:pPr>
      <w:r>
        <w:rPr>
          <w:sz w:val="24"/>
          <w:szCs w:val="24"/>
        </w:rPr>
      </w:r>
    </w:p>
    <w:p>
      <w:pPr>
        <w:pStyle w:val="Cabealho"/>
        <w:jc w:val="both"/>
        <w:rPr>
          <w:sz w:val="24"/>
          <w:szCs w:val="24"/>
        </w:rPr>
      </w:pPr>
      <w:r>
        <w:rPr>
          <w:sz w:val="24"/>
          <w:szCs w:val="24"/>
        </w:rPr>
      </w:r>
    </w:p>
    <w:p>
      <w:pPr>
        <w:pStyle w:val="Cabealho"/>
        <w:jc w:val="both"/>
        <w:rPr>
          <w:sz w:val="24"/>
          <w:szCs w:val="24"/>
        </w:rPr>
      </w:pPr>
      <w:r>
        <w:rPr>
          <w:sz w:val="24"/>
          <w:szCs w:val="24"/>
        </w:rPr>
      </w:r>
    </w:p>
    <w:p>
      <w:pPr>
        <w:pStyle w:val="Corpodotextorecuado"/>
        <w:spacing w:lineRule="auto" w:line="360"/>
        <w:ind w:left="3402" w:right="0" w:hanging="0"/>
        <w:jc w:val="both"/>
        <w:rPr>
          <w:rFonts w:cs="Arial"/>
          <w:b/>
          <w:b/>
        </w:rPr>
      </w:pPr>
      <w:r>
        <w:rPr>
          <w:rFonts w:cs="Arial"/>
          <w:b/>
        </w:rPr>
      </w:r>
    </w:p>
    <w:p>
      <w:pPr>
        <w:pStyle w:val="Corpodotextorecuado"/>
        <w:spacing w:lineRule="auto" w:line="360"/>
        <w:ind w:left="3402" w:right="0" w:hanging="0"/>
        <w:jc w:val="both"/>
        <w:rPr>
          <w:rFonts w:ascii="Times New Roman" w:hAnsi="Times New Roman" w:cs="Arial"/>
          <w:b/>
          <w:b/>
          <w:color w:val="000000"/>
          <w:sz w:val="24"/>
          <w:szCs w:val="24"/>
        </w:rPr>
      </w:pPr>
      <w:r>
        <w:rPr>
          <w:rFonts w:cs="Arial" w:ascii="Times New Roman" w:hAnsi="Times New Roman"/>
          <w:b/>
          <w:color w:val="000000"/>
          <w:sz w:val="24"/>
          <w:szCs w:val="24"/>
        </w:rPr>
      </w:r>
    </w:p>
    <w:p>
      <w:pPr>
        <w:pStyle w:val="Corpodotextorecuado"/>
        <w:spacing w:lineRule="auto" w:line="360"/>
        <w:ind w:left="3402" w:right="0" w:hanging="0"/>
        <w:jc w:val="both"/>
        <w:rPr>
          <w:rFonts w:ascii="Times New Roman" w:hAnsi="Times New Roman"/>
          <w:b/>
          <w:b/>
          <w:bCs/>
          <w:color w:val="000000"/>
          <w:sz w:val="24"/>
          <w:szCs w:val="24"/>
        </w:rPr>
      </w:pPr>
      <w:r>
        <w:rPr>
          <w:rFonts w:cs="Arial" w:ascii="Times New Roman" w:hAnsi="Times New Roman"/>
          <w:b/>
          <w:bCs/>
          <w:i w:val="false"/>
          <w:caps w:val="false"/>
          <w:smallCaps w:val="false"/>
          <w:color w:val="000000"/>
          <w:spacing w:val="0"/>
          <w:sz w:val="24"/>
          <w:szCs w:val="24"/>
          <w:lang w:val="en-GB"/>
        </w:rPr>
        <w:t>Cooperation Agreement Signed Between the Federal Rural University of Rio de Janeiro – UFRRJ and [Institution]</w:t>
      </w:r>
      <w:r>
        <w:rPr>
          <w:rFonts w:cs="Arial" w:ascii="Times New Roman" w:hAnsi="Times New Roman"/>
          <w:b/>
          <w:bCs/>
          <w:color w:val="000000"/>
          <w:sz w:val="24"/>
          <w:szCs w:val="24"/>
          <w:lang w:val="en-GB"/>
        </w:rPr>
        <w:t xml:space="preserve">   ………………………………………………….</w:t>
      </w:r>
    </w:p>
    <w:p>
      <w:pPr>
        <w:pStyle w:val="Normal"/>
        <w:spacing w:lineRule="auto" w:line="360"/>
        <w:ind w:left="0" w:right="0" w:hanging="0"/>
        <w:jc w:val="both"/>
        <w:rPr>
          <w:rFonts w:ascii="Times New Roman" w:hAnsi="Times New Roman" w:cs="Arial"/>
          <w:b/>
          <w:b/>
          <w:color w:val="000000"/>
          <w:sz w:val="24"/>
          <w:szCs w:val="24"/>
        </w:rPr>
      </w:pPr>
      <w:r>
        <w:rPr>
          <w:rFonts w:cs="Arial" w:ascii="Times New Roman" w:hAnsi="Times New Roman"/>
          <w:b/>
          <w:color w:val="000000"/>
          <w:sz w:val="24"/>
          <w:szCs w:val="24"/>
        </w:rPr>
      </w:r>
    </w:p>
    <w:p>
      <w:pPr>
        <w:pStyle w:val="Normal"/>
        <w:spacing w:lineRule="auto" w:line="360"/>
        <w:ind w:left="0" w:right="0" w:hanging="0"/>
        <w:jc w:val="both"/>
        <w:rPr>
          <w:rFonts w:ascii="Times New Roman" w:hAnsi="Times New Roman" w:cs="Arial"/>
          <w:b/>
          <w:b/>
          <w:color w:val="000000"/>
          <w:sz w:val="24"/>
          <w:szCs w:val="24"/>
        </w:rPr>
      </w:pPr>
      <w:r>
        <w:rPr>
          <w:rFonts w:cs="Arial" w:ascii="Times New Roman" w:hAnsi="Times New Roman"/>
          <w:b/>
          <w:color w:val="000000"/>
          <w:sz w:val="24"/>
          <w:szCs w:val="24"/>
        </w:rPr>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color w:val="000000"/>
          <w:sz w:val="24"/>
          <w:szCs w:val="24"/>
          <w:lang w:val="en-GB"/>
        </w:rPr>
        <w:t>The</w:t>
      </w:r>
      <w:r>
        <w:rPr>
          <w:rFonts w:cs="Arial" w:ascii="Times New Roman" w:hAnsi="Times New Roman"/>
          <w:color w:val="000000"/>
          <w:sz w:val="24"/>
          <w:szCs w:val="24"/>
        </w:rPr>
        <w:t xml:space="preserve"> </w:t>
      </w:r>
      <w:r>
        <w:rPr>
          <w:rFonts w:cs="Arial" w:ascii="Times New Roman" w:hAnsi="Times New Roman"/>
          <w:b/>
          <w:color w:val="000000"/>
          <w:sz w:val="24"/>
          <w:szCs w:val="24"/>
        </w:rPr>
        <w:t>UNIVERSIDADE FEDERAL RURAL DO RIO DE JANEIRO</w:t>
      </w:r>
      <w:r>
        <w:rPr>
          <w:rFonts w:cs="Arial" w:ascii="Times New Roman" w:hAnsi="Times New Roman"/>
          <w:color w:val="000000"/>
          <w:sz w:val="24"/>
          <w:szCs w:val="24"/>
        </w:rPr>
        <w:t xml:space="preserve">, </w:t>
      </w:r>
      <w:r>
        <w:rPr>
          <w:rFonts w:cs="Arial" w:ascii="Times New Roman" w:hAnsi="Times New Roman"/>
          <w:color w:val="000000"/>
          <w:sz w:val="24"/>
          <w:szCs w:val="24"/>
          <w:lang w:val="en-GB"/>
        </w:rPr>
        <w:t>legal entity of public right, in accordance with the terms of the Decree n.º 63.492 of October 29, 1968,</w:t>
      </w:r>
      <w:r>
        <w:rPr>
          <w:rFonts w:cs="Arial" w:ascii="Times New Roman" w:hAnsi="Times New Roman"/>
          <w:color w:val="000000"/>
          <w:sz w:val="24"/>
          <w:szCs w:val="24"/>
          <w:lang w:val="en-US"/>
        </w:rPr>
        <w:t xml:space="preserve"> </w:t>
      </w:r>
      <w:r>
        <w:rPr>
          <w:rFonts w:cs="Arial" w:ascii="Times New Roman" w:hAnsi="Times New Roman"/>
          <w:color w:val="000000"/>
          <w:sz w:val="24"/>
          <w:szCs w:val="24"/>
          <w:lang w:val="en-GB"/>
        </w:rPr>
        <w:t xml:space="preserve">organized under the format of a special regimen </w:t>
      </w:r>
      <w:bookmarkStart w:id="0" w:name="OLE_LINK2"/>
      <w:bookmarkStart w:id="1" w:name="OLE_LINK1"/>
      <w:r>
        <w:rPr>
          <w:rFonts w:cs="Arial" w:ascii="Times New Roman" w:hAnsi="Times New Roman"/>
          <w:color w:val="000000"/>
          <w:sz w:val="24"/>
          <w:szCs w:val="24"/>
          <w:lang w:val="en-GB"/>
        </w:rPr>
        <w:t>autarchy</w:t>
      </w:r>
      <w:bookmarkEnd w:id="0"/>
      <w:bookmarkEnd w:id="1"/>
      <w:r>
        <w:rPr>
          <w:rFonts w:cs="Arial" w:ascii="Times New Roman" w:hAnsi="Times New Roman"/>
          <w:color w:val="000000"/>
          <w:sz w:val="24"/>
          <w:szCs w:val="24"/>
          <w:lang w:val="en-GB"/>
        </w:rPr>
        <w:t xml:space="preserve">, having its main office at BR 465, KM 47, Seropédica, State of Rio de Janeiro, Brazil, subscribed in </w:t>
      </w:r>
      <w:r>
        <w:rPr>
          <w:rFonts w:cs="Arial" w:ascii="Times New Roman" w:hAnsi="Times New Roman"/>
          <w:color w:val="000000"/>
          <w:sz w:val="24"/>
          <w:szCs w:val="24"/>
          <w:shd w:fill="FFFFFF" w:val="clear"/>
          <w:lang w:val="en-GB"/>
        </w:rPr>
        <w:t>CNPJ</w:t>
      </w:r>
      <w:r>
        <w:rPr>
          <w:rFonts w:cs="Arial" w:ascii="Times New Roman" w:hAnsi="Times New Roman"/>
          <w:color w:val="000000"/>
          <w:sz w:val="24"/>
          <w:szCs w:val="24"/>
          <w:lang w:val="en-GB"/>
        </w:rPr>
        <w:t xml:space="preserve"> with the                                  n.º </w:t>
      </w:r>
      <w:r>
        <w:rPr>
          <w:rFonts w:cs="Arial" w:ascii="Times New Roman" w:hAnsi="Times New Roman"/>
          <w:color w:val="000000"/>
          <w:sz w:val="24"/>
          <w:szCs w:val="24"/>
          <w:lang w:val="en-US"/>
        </w:rPr>
        <w:t>29.427.465/0001-05</w:t>
      </w:r>
      <w:r>
        <w:rPr>
          <w:rFonts w:cs="Arial" w:ascii="Times New Roman" w:hAnsi="Times New Roman"/>
          <w:color w:val="000000"/>
          <w:sz w:val="24"/>
          <w:szCs w:val="24"/>
          <w:lang w:val="en-GB"/>
        </w:rPr>
        <w:t xml:space="preserve">, hereafter cited as </w:t>
      </w:r>
      <w:r>
        <w:rPr>
          <w:rFonts w:cs="Arial" w:ascii="Times New Roman" w:hAnsi="Times New Roman"/>
          <w:b/>
          <w:color w:val="000000"/>
          <w:sz w:val="24"/>
          <w:szCs w:val="24"/>
          <w:lang w:val="en-GB"/>
        </w:rPr>
        <w:t xml:space="preserve">UFRRJ, </w:t>
      </w:r>
      <w:r>
        <w:rPr>
          <w:rFonts w:cs="Arial" w:ascii="Times New Roman" w:hAnsi="Times New Roman"/>
          <w:color w:val="000000"/>
          <w:sz w:val="24"/>
          <w:szCs w:val="24"/>
          <w:lang w:val="en-GB"/>
        </w:rPr>
        <w:t>represented in this instrument by its President</w:t>
      </w:r>
      <w:r>
        <w:rPr>
          <w:rFonts w:cs="Arial" w:ascii="Times New Roman" w:hAnsi="Times New Roman"/>
          <w:color w:val="000000"/>
          <w:sz w:val="24"/>
          <w:szCs w:val="24"/>
        </w:rPr>
        <w:t xml:space="preserve">, </w:t>
      </w:r>
      <w:r>
        <w:rPr>
          <w:rFonts w:cs="Arial" w:ascii="Times New Roman" w:hAnsi="Times New Roman"/>
          <w:b/>
          <w:color w:val="000000"/>
          <w:sz w:val="24"/>
          <w:szCs w:val="24"/>
        </w:rPr>
        <w:t>ROBERTO DE SOUZA RODRIGUES</w:t>
      </w:r>
      <w:r>
        <w:rPr>
          <w:rFonts w:cs="Arial" w:ascii="Times New Roman" w:hAnsi="Times New Roman"/>
          <w:color w:val="000000"/>
          <w:sz w:val="24"/>
          <w:szCs w:val="24"/>
          <w:lang w:val="en-GB"/>
        </w:rPr>
        <w:t xml:space="preserve">, </w:t>
      </w:r>
      <w:r>
        <w:rPr>
          <w:rFonts w:cs="Arial" w:ascii="Times New Roman" w:hAnsi="Times New Roman"/>
          <w:color w:val="000000"/>
          <w:sz w:val="24"/>
          <w:szCs w:val="24"/>
          <w:lang w:val="en-GB"/>
        </w:rPr>
        <w:t xml:space="preserve"> </w:t>
      </w:r>
      <w:r>
        <w:rPr>
          <w:rFonts w:cs="Arial" w:ascii="Times New Roman" w:hAnsi="Times New Roman"/>
          <w:color w:val="000000"/>
          <w:sz w:val="24"/>
          <w:szCs w:val="24"/>
          <w:lang w:val="en-GB"/>
        </w:rPr>
        <w:t xml:space="preserve">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color w:val="000000"/>
          <w:sz w:val="24"/>
          <w:szCs w:val="24"/>
          <w:lang w:val="en-GB"/>
        </w:rPr>
        <w:t xml:space="preserve">and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w:t>
      </w:r>
      <w:r>
        <w:rPr>
          <w:rFonts w:cs="Arial" w:ascii="Times New Roman" w:hAnsi="Times New Roman"/>
          <w:b w:val="false"/>
          <w:bCs w:val="false"/>
          <w:color w:val="000000"/>
          <w:sz w:val="24"/>
          <w:szCs w:val="24"/>
          <w:lang w:val="en-GB"/>
        </w:rPr>
        <w:t xml:space="preserve">he </w:t>
      </w:r>
      <w:r>
        <w:rPr>
          <w:rFonts w:cs="Arial" w:ascii="Times New Roman" w:hAnsi="Times New Roman"/>
          <w:b/>
          <w:bCs/>
          <w:color w:val="000000"/>
          <w:sz w:val="24"/>
          <w:szCs w:val="24"/>
          <w:lang w:val="en-GB"/>
        </w:rPr>
        <w:t>UNIVERSITY ______________</w:t>
      </w:r>
      <w:r>
        <w:rPr>
          <w:rFonts w:cs="Arial" w:ascii="Times New Roman" w:hAnsi="Times New Roman"/>
          <w:color w:val="000000"/>
          <w:sz w:val="24"/>
          <w:szCs w:val="24"/>
          <w:lang w:val="en-GB"/>
        </w:rPr>
        <w:t>, having its main office at _______________________, represented on this act by its President and Vice Chancellor,____________________</w:t>
      </w:r>
      <w:r>
        <w:rPr>
          <w:rFonts w:cs="Arial" w:ascii="Times New Roman" w:hAnsi="Times New Roman"/>
          <w:bCs/>
          <w:color w:val="000000"/>
          <w:sz w:val="24"/>
          <w:szCs w:val="24"/>
          <w:lang w:val="en-GB"/>
        </w:rPr>
        <w:t xml:space="preserve"> .</w:t>
      </w:r>
    </w:p>
    <w:p>
      <w:pPr>
        <w:pStyle w:val="Normal"/>
        <w:spacing w:lineRule="auto" w:line="360"/>
        <w:ind w:left="0" w:right="0" w:hanging="0"/>
        <w:jc w:val="both"/>
        <w:rPr>
          <w:rFonts w:cs="Arial"/>
          <w:bCs/>
          <w:lang w:val="en-GB"/>
        </w:rPr>
      </w:pPr>
      <w:r>
        <w:rPr>
          <w:rFonts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lang w:val="en-GB"/>
        </w:rPr>
        <w:t>They mutually agree to enter into this Cooperation Agreement in accordance with the legislation in force in their respective countries and subject to the clauses and conditions agreed upon below:</w:t>
      </w:r>
      <w:r>
        <w:rPr>
          <w:rFonts w:cs="Arial" w:ascii="Times New Roman" w:hAnsi="Times New Roman"/>
          <w:color w:val="000000"/>
          <w:sz w:val="24"/>
          <w:szCs w:val="24"/>
          <w:lang w:val="en-GB"/>
        </w:rPr>
        <w:t xml:space="preserve"> </w:t>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color w:val="000000"/>
          <w:sz w:val="24"/>
          <w:szCs w:val="24"/>
        </w:rPr>
      </w:r>
    </w:p>
    <w:p>
      <w:pPr>
        <w:pStyle w:val="Ttulo2"/>
        <w:numPr>
          <w:ilvl w:val="1"/>
          <w:numId w:val="2"/>
        </w:numPr>
        <w:spacing w:lineRule="auto" w:line="360"/>
        <w:ind w:left="0" w:right="0" w:hanging="0"/>
        <w:jc w:val="both"/>
        <w:rPr>
          <w:rFonts w:ascii="Times New Roman" w:hAnsi="Times New Roman"/>
          <w:color w:val="000000"/>
          <w:sz w:val="24"/>
          <w:szCs w:val="24"/>
        </w:rPr>
      </w:pPr>
      <w:r>
        <w:rPr>
          <w:rFonts w:cs="Arial" w:ascii="Times New Roman" w:hAnsi="Times New Roman"/>
          <w:b/>
          <w:color w:val="000000"/>
          <w:sz w:val="24"/>
          <w:szCs w:val="24"/>
        </w:rPr>
        <w:t xml:space="preserve">1. </w:t>
      </w:r>
      <w:r>
        <w:rPr>
          <w:rFonts w:cs="Arial" w:ascii="Times New Roman" w:hAnsi="Times New Roman"/>
          <w:b/>
          <w:color w:val="000000"/>
          <w:sz w:val="24"/>
          <w:szCs w:val="24"/>
        </w:rPr>
        <w:t>Article One – Objective</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color w:val="000000"/>
          <w:sz w:val="24"/>
          <w:szCs w:val="24"/>
        </w:rPr>
        <w:t xml:space="preserve">The purpose of this </w:t>
      </w:r>
      <w:r>
        <w:rPr>
          <w:rFonts w:cs="Arial" w:ascii="Times New Roman" w:hAnsi="Times New Roman"/>
          <w:b w:val="false"/>
          <w:i w:val="false"/>
          <w:caps w:val="false"/>
          <w:smallCaps w:val="false"/>
          <w:color w:val="000000"/>
          <w:spacing w:val="0"/>
          <w:sz w:val="24"/>
          <w:szCs w:val="24"/>
        </w:rPr>
        <w:t xml:space="preserve">Agreement </w:t>
      </w:r>
      <w:r>
        <w:rPr>
          <w:rFonts w:cs="Arial" w:ascii="Times New Roman" w:hAnsi="Times New Roman"/>
          <w:color w:val="000000"/>
          <w:sz w:val="24"/>
          <w:szCs w:val="24"/>
        </w:rPr>
        <w:t xml:space="preserve">is to establish </w:t>
      </w:r>
      <w:r>
        <w:rPr>
          <w:rFonts w:cs="Arial" w:ascii="Times New Roman" w:hAnsi="Times New Roman"/>
          <w:b w:val="false"/>
          <w:i w:val="false"/>
          <w:caps w:val="false"/>
          <w:smallCaps w:val="false"/>
          <w:color w:val="000000"/>
          <w:spacing w:val="0"/>
          <w:sz w:val="24"/>
          <w:szCs w:val="24"/>
        </w:rPr>
        <w:t xml:space="preserve">an exchange program and broad mutual cooperation between UFRRJ and .........................., in all academic areas offered by both Universities, aiming to jointly develop: </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a) Development of mutually beneficial academic programs and courses;</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 xml:space="preserve">b) Exchange of professors, researchers, and senior technical-administrative staff for teaching and research purposes in regular and extension programs in different academic areas of study, as well as in university management programs; </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c) Exchange of undergraduate and postgraduate students for study and research in regular and extension programs;</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d) Reciprocal assistance for visiting professors and students;</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 xml:space="preserve">e) Participation in and coordination of activities such as joint research, lectures, and seminars in short and long-term programs; </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i w:val="false"/>
          <w:caps w:val="false"/>
          <w:smallCaps w:val="false"/>
          <w:color w:val="000000"/>
          <w:spacing w:val="0"/>
          <w:sz w:val="24"/>
          <w:szCs w:val="24"/>
        </w:rPr>
        <w:t xml:space="preserve">f) Exchange of documentation and research materials in areas of mutual interest, provided that, to the best of the respective institutions' knowledge, there is no legal prohibition against the exchange. </w:t>
      </w:r>
    </w:p>
    <w:p>
      <w:pPr>
        <w:pStyle w:val="Normal"/>
        <w:spacing w:lineRule="auto" w:line="360"/>
        <w:ind w:left="0" w:right="0" w:hanging="0"/>
        <w:jc w:val="both"/>
        <w:rPr>
          <w:rFonts w:ascii="Times New Roman" w:hAnsi="Times New Roman" w:cs="Arial"/>
          <w:color w:val="000000"/>
          <w:sz w:val="24"/>
          <w:szCs w:val="24"/>
        </w:rPr>
      </w:pPr>
      <w:r>
        <w:rPr>
          <w:rFonts w:cs="Arial" w:ascii="Times New Roman" w:hAnsi="Times New Roman"/>
          <w:color w:val="000000"/>
          <w:sz w:val="24"/>
          <w:szCs w:val="24"/>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color w:val="000000"/>
          <w:sz w:val="24"/>
          <w:szCs w:val="24"/>
          <w:lang w:val="en-GB"/>
        </w:rPr>
        <w:t xml:space="preserve">2. </w:t>
      </w:r>
      <w:r>
        <w:rPr>
          <w:rFonts w:cs="Arial" w:ascii="Times New Roman" w:hAnsi="Times New Roman"/>
          <w:b w:val="false"/>
          <w:i w:val="false"/>
          <w:caps w:val="false"/>
          <w:smallCaps w:val="false"/>
          <w:color w:val="000000"/>
          <w:spacing w:val="0"/>
          <w:sz w:val="24"/>
          <w:szCs w:val="24"/>
          <w:lang w:val="en-GB"/>
        </w:rPr>
        <w:t xml:space="preserve">ARTICLE TWO – </w:t>
      </w:r>
      <w:r>
        <w:rPr>
          <w:rFonts w:cs="Arial" w:ascii="Times New Roman" w:hAnsi="Times New Roman"/>
          <w:b/>
          <w:color w:val="000000"/>
          <w:sz w:val="24"/>
          <w:szCs w:val="24"/>
          <w:lang w:val="en-GB"/>
        </w:rPr>
        <w:t xml:space="preserve">Execution/Implementation </w:t>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2.1. </w:t>
      </w:r>
      <w:r>
        <w:rPr>
          <w:rFonts w:cs="Arial" w:ascii="Times New Roman" w:hAnsi="Times New Roman"/>
          <w:b w:val="false"/>
          <w:bCs w:val="false"/>
          <w:i w:val="false"/>
          <w:caps w:val="false"/>
          <w:smallCaps w:val="false"/>
          <w:color w:val="000000"/>
          <w:spacing w:val="0"/>
          <w:sz w:val="24"/>
          <w:szCs w:val="24"/>
          <w:lang w:val="en-GB"/>
        </w:rPr>
        <w:t>For the implementation of the Student Exchange Program, the parties agree on the following:</w:t>
      </w:r>
      <w:r>
        <w:rPr>
          <w:rFonts w:cs="Arial" w:ascii="Times New Roman" w:hAnsi="Times New Roman"/>
          <w:b w:val="false"/>
          <w:bCs w:val="false"/>
          <w:color w:val="000000"/>
          <w:sz w:val="24"/>
          <w:szCs w:val="24"/>
          <w:lang w:val="en-GB"/>
        </w:rPr>
        <w:t xml:space="preserve"> </w:t>
      </w:r>
    </w:p>
    <w:p>
      <w:pPr>
        <w:pStyle w:val="Normal"/>
        <w:numPr>
          <w:ilvl w:val="0"/>
          <w:numId w:val="3"/>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exchange of students must be managed by the Coordination of International and Inter-institutional Relations - CORIN and by its counterpart in each part;</w:t>
      </w:r>
    </w:p>
    <w:p>
      <w:pPr>
        <w:pStyle w:val="Normal"/>
        <w:numPr>
          <w:ilvl w:val="0"/>
          <w:numId w:val="3"/>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Each party may nominate up to </w:t>
      </w:r>
      <w:r>
        <w:rPr>
          <w:rFonts w:cs="Arial" w:ascii="Times New Roman" w:hAnsi="Times New Roman"/>
          <w:b w:val="false"/>
          <w:bCs w:val="false"/>
          <w:color w:val="000000"/>
          <w:sz w:val="24"/>
          <w:szCs w:val="24"/>
          <w:highlight w:val="yellow"/>
          <w:lang w:val="en-GB"/>
        </w:rPr>
        <w:t>xx</w:t>
      </w:r>
      <w:r>
        <w:rPr>
          <w:rFonts w:cs="Arial" w:ascii="Times New Roman" w:hAnsi="Times New Roman"/>
          <w:b w:val="false"/>
          <w:bCs w:val="false"/>
          <w:color w:val="000000"/>
          <w:sz w:val="24"/>
          <w:szCs w:val="24"/>
          <w:lang w:val="en-GB"/>
        </w:rPr>
        <w:t xml:space="preserve"> </w:t>
      </w:r>
      <w:r>
        <w:rPr>
          <w:rFonts w:cs="Arial" w:ascii="Times New Roman" w:hAnsi="Times New Roman"/>
          <w:b w:val="false"/>
          <w:bCs w:val="false"/>
          <w:i w:val="false"/>
          <w:caps w:val="false"/>
          <w:smallCaps w:val="false"/>
          <w:color w:val="000000"/>
          <w:spacing w:val="0"/>
          <w:sz w:val="24"/>
          <w:szCs w:val="24"/>
          <w:lang w:val="en-GB"/>
        </w:rPr>
        <w:t>undergraduate or postgraduate</w:t>
      </w:r>
      <w:r>
        <w:rPr>
          <w:rFonts w:cs="Arial" w:ascii="Times New Roman" w:hAnsi="Times New Roman"/>
          <w:b w:val="false"/>
          <w:bCs w:val="false"/>
          <w:color w:val="000000"/>
          <w:sz w:val="24"/>
          <w:szCs w:val="24"/>
          <w:lang w:val="en-GB"/>
        </w:rPr>
        <w:t xml:space="preserve"> students for exchange every 12 months;</w:t>
      </w:r>
    </w:p>
    <w:p>
      <w:pPr>
        <w:pStyle w:val="Normal"/>
        <w:numPr>
          <w:ilvl w:val="0"/>
          <w:numId w:val="3"/>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number of exchange students may vary in any given year;</w:t>
      </w:r>
    </w:p>
    <w:p>
      <w:pPr>
        <w:pStyle w:val="Normal"/>
        <w:numPr>
          <w:ilvl w:val="0"/>
          <w:numId w:val="3"/>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Students nominated by the home institution will be accepted for exchange by the host institution, however, the host institution reserves the right to reject the applications of students nominated by the home institution, justifying the rejection;</w:t>
      </w:r>
    </w:p>
    <w:p>
      <w:pPr>
        <w:pStyle w:val="Normal"/>
        <w:numPr>
          <w:ilvl w:val="0"/>
          <w:numId w:val="3"/>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exchange student may stay at the host institution for a period of at least 01 and a maximum of 2 academic semesters;</w:t>
      </w:r>
    </w:p>
    <w:p>
      <w:pPr>
        <w:pStyle w:val="Normal"/>
        <w:spacing w:lineRule="auto" w:line="360"/>
        <w:ind w:left="0" w:right="0" w:hanging="0"/>
        <w:jc w:val="both"/>
        <w:rPr>
          <w:rFonts w:ascii="Times New Roman" w:hAnsi="Times New Roman" w:cs="Arial"/>
          <w:b w:val="false"/>
          <w:b w:val="false"/>
          <w:bCs w:val="false"/>
          <w:color w:val="000000"/>
          <w:sz w:val="24"/>
          <w:szCs w:val="24"/>
          <w:lang w:val="en-GB"/>
        </w:rPr>
      </w:pPr>
      <w:r>
        <w:rPr>
          <w:rFonts w:cs="Arial" w:ascii="Times New Roman" w:hAnsi="Times New Roman"/>
          <w:b w:val="false"/>
          <w:bCs w:val="false"/>
          <w:color w:val="000000"/>
          <w:sz w:val="24"/>
          <w:szCs w:val="24"/>
          <w:lang w:val="en-GB"/>
        </w:rPr>
      </w:r>
    </w:p>
    <w:p>
      <w:pPr>
        <w:pStyle w:val="Normal"/>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2.2. </w:t>
      </w:r>
      <w:r>
        <w:rPr>
          <w:rFonts w:cs="Arial" w:ascii="Times New Roman" w:hAnsi="Times New Roman"/>
          <w:b w:val="false"/>
          <w:bCs w:val="false"/>
          <w:i w:val="false"/>
          <w:caps w:val="false"/>
          <w:smallCaps w:val="false"/>
          <w:color w:val="000000"/>
          <w:spacing w:val="0"/>
          <w:sz w:val="24"/>
          <w:szCs w:val="24"/>
          <w:lang w:val="en-GB"/>
        </w:rPr>
        <w:t>For the exchange of professors, researchers and technical-administrative staff at the higher education level, the parties agree to the following:</w:t>
      </w:r>
      <w:r>
        <w:rPr>
          <w:rFonts w:cs="Arial" w:ascii="Times New Roman" w:hAnsi="Times New Roman"/>
          <w:b w:val="false"/>
          <w:bCs w:val="false"/>
          <w:color w:val="000000"/>
          <w:sz w:val="24"/>
          <w:szCs w:val="24"/>
          <w:lang w:val="en-GB"/>
        </w:rPr>
        <w:t xml:space="preserve"> </w:t>
      </w:r>
    </w:p>
    <w:p>
      <w:pPr>
        <w:pStyle w:val="Normal"/>
        <w:numPr>
          <w:ilvl w:val="0"/>
          <w:numId w:val="4"/>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exchange provided herein must be managed by the parties, through CORIN;</w:t>
      </w:r>
    </w:p>
    <w:p>
      <w:pPr>
        <w:pStyle w:val="Normal"/>
        <w:numPr>
          <w:ilvl w:val="0"/>
          <w:numId w:val="4"/>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Each party will support the exchange of up to </w:t>
      </w:r>
      <w:r>
        <w:rPr>
          <w:rFonts w:cs="Arial" w:ascii="Times New Roman" w:hAnsi="Times New Roman"/>
          <w:b w:val="false"/>
          <w:bCs w:val="false"/>
          <w:color w:val="000000"/>
          <w:sz w:val="24"/>
          <w:szCs w:val="24"/>
          <w:highlight w:val="yellow"/>
          <w:lang w:val="en-GB"/>
        </w:rPr>
        <w:t>xx</w:t>
      </w:r>
      <w:r>
        <w:rPr>
          <w:rFonts w:cs="Arial" w:ascii="Times New Roman" w:hAnsi="Times New Roman"/>
          <w:b w:val="false"/>
          <w:bCs w:val="false"/>
          <w:color w:val="000000"/>
          <w:sz w:val="24"/>
          <w:szCs w:val="24"/>
          <w:lang w:val="en-GB"/>
        </w:rPr>
        <w:t xml:space="preserve"> professors, researchers and technical-administrative personnel with a higher level every 12 months;</w:t>
      </w:r>
    </w:p>
    <w:p>
      <w:pPr>
        <w:pStyle w:val="Normal"/>
        <w:numPr>
          <w:ilvl w:val="0"/>
          <w:numId w:val="4"/>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Exchange professors must execute a specific Work Plan that must contain, at least:</w:t>
      </w:r>
    </w:p>
    <w:p>
      <w:pPr>
        <w:pStyle w:val="Normal"/>
        <w:widowControl/>
        <w:tabs>
          <w:tab w:val="clear" w:pos="709"/>
          <w:tab w:val="left" w:pos="1140" w:leader="none"/>
        </w:tabs>
        <w:bidi w:val="0"/>
        <w:spacing w:lineRule="auto" w:line="360"/>
        <w:ind w:left="1134" w:right="0" w:hanging="397"/>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a) </w:t>
        <w:tab/>
        <w:t>Academic justification;</w:t>
      </w:r>
    </w:p>
    <w:p>
      <w:pPr>
        <w:pStyle w:val="Normal"/>
        <w:widowControl/>
        <w:tabs>
          <w:tab w:val="clear" w:pos="709"/>
          <w:tab w:val="left" w:pos="1140" w:leader="none"/>
        </w:tabs>
        <w:bidi w:val="0"/>
        <w:spacing w:lineRule="auto" w:line="360"/>
        <w:ind w:left="1134" w:right="0" w:hanging="397"/>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b) </w:t>
        <w:tab/>
        <w:t>Research project in an area of interest to the host institution, which involves the training of human resources at different levels (undergraduate, master's, doctoral and post-doctoral);</w:t>
      </w:r>
    </w:p>
    <w:p>
      <w:pPr>
        <w:pStyle w:val="Normal"/>
        <w:widowControl/>
        <w:tabs>
          <w:tab w:val="clear" w:pos="709"/>
          <w:tab w:val="left" w:pos="1140" w:leader="none"/>
        </w:tabs>
        <w:bidi w:val="0"/>
        <w:spacing w:lineRule="auto" w:line="360"/>
        <w:ind w:left="1134" w:right="0" w:hanging="397"/>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c) </w:t>
        <w:tab/>
        <w:t>Details on the activities' relationships with the parties' teaching, research and extension services;</w:t>
      </w:r>
    </w:p>
    <w:p>
      <w:pPr>
        <w:pStyle w:val="Normal"/>
        <w:numPr>
          <w:ilvl w:val="0"/>
          <w:numId w:val="5"/>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host institution will not, under any circumstances, establish an employment relationship with the professors in exchange through this Agreement;</w:t>
      </w:r>
    </w:p>
    <w:p>
      <w:pPr>
        <w:pStyle w:val="Normal"/>
        <w:numPr>
          <w:ilvl w:val="0"/>
          <w:numId w:val="5"/>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host institution will issue the documents applicable to each professor in exchange for the issuance of a visa, in accordance with the laws in force. It is the responsibility of each exchange program participant to obtain the visa in their home country in a timely manner;</w:t>
      </w:r>
    </w:p>
    <w:p>
      <w:pPr>
        <w:pStyle w:val="Normal"/>
        <w:numPr>
          <w:ilvl w:val="0"/>
          <w:numId w:val="5"/>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exchange professor must provide his/her own health, accident, repatriation and civil liability insurance;</w:t>
      </w:r>
    </w:p>
    <w:p>
      <w:pPr>
        <w:pStyle w:val="Normal"/>
        <w:numPr>
          <w:ilvl w:val="0"/>
          <w:numId w:val="5"/>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parties undertake to seek external sources of funding when the execution of the Work Plan requires additional resources not provided for in this Agreement;</w:t>
      </w:r>
    </w:p>
    <w:p>
      <w:pPr>
        <w:pStyle w:val="Normal"/>
        <w:numPr>
          <w:ilvl w:val="0"/>
          <w:numId w:val="5"/>
        </w:numPr>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parties will decide which of their faculty will be allowed to leave the country, in compliance with the criteria established by the parties and the national legislation.</w:t>
      </w:r>
    </w:p>
    <w:p>
      <w:pPr>
        <w:pStyle w:val="Normal"/>
        <w:spacing w:lineRule="auto" w:line="360"/>
        <w:ind w:left="0" w:right="0" w:hanging="0"/>
        <w:jc w:val="both"/>
        <w:rPr>
          <w:rFonts w:ascii="Times New Roman" w:hAnsi="Times New Roman" w:cs="Arial"/>
          <w:b w:val="false"/>
          <w:b w:val="false"/>
          <w:bCs w:val="false"/>
          <w:color w:val="000000"/>
          <w:sz w:val="24"/>
          <w:szCs w:val="24"/>
          <w:lang w:val="en-GB"/>
        </w:rPr>
      </w:pPr>
      <w:r>
        <w:rPr>
          <w:rFonts w:cs="Arial" w:ascii="Times New Roman" w:hAnsi="Times New Roman"/>
          <w:b w:val="false"/>
          <w:bCs w:val="false"/>
          <w:color w:val="000000"/>
          <w:sz w:val="24"/>
          <w:szCs w:val="24"/>
          <w:lang w:val="en-GB"/>
        </w:rPr>
      </w:r>
    </w:p>
    <w:p>
      <w:pPr>
        <w:pStyle w:val="Normal"/>
        <w:tabs>
          <w:tab w:val="clear" w:pos="709"/>
          <w:tab w:val="left" w:pos="6855" w:leader="none"/>
        </w:tabs>
        <w:spacing w:lineRule="auto" w:line="360"/>
        <w:jc w:val="both"/>
        <w:rPr>
          <w:rFonts w:ascii="Times New Roman" w:hAnsi="Times New Roman"/>
          <w:color w:val="000000"/>
          <w:sz w:val="24"/>
          <w:szCs w:val="24"/>
        </w:rPr>
      </w:pPr>
      <w:r>
        <w:rPr>
          <w:rFonts w:cs="Arial" w:ascii="Times New Roman" w:hAnsi="Times New Roman"/>
          <w:b/>
          <w:color w:val="000000"/>
          <w:sz w:val="24"/>
          <w:szCs w:val="24"/>
          <w:lang w:val="en-GB"/>
        </w:rPr>
        <w:t xml:space="preserve">3. </w:t>
      </w:r>
      <w:r>
        <w:rPr>
          <w:rFonts w:cs="Arial" w:ascii="Times New Roman" w:hAnsi="Times New Roman"/>
          <w:b/>
          <w:bCs/>
          <w:i w:val="false"/>
          <w:caps w:val="false"/>
          <w:smallCaps w:val="false"/>
          <w:color w:val="000000"/>
          <w:spacing w:val="0"/>
          <w:sz w:val="24"/>
          <w:szCs w:val="24"/>
          <w:lang w:val="en-GB"/>
        </w:rPr>
        <w:t>ARTICLE THREE – TERM OF VALIDITY</w:t>
      </w:r>
      <w:r>
        <w:rPr>
          <w:rFonts w:cs="Arial" w:ascii="Times New Roman" w:hAnsi="Times New Roman"/>
          <w:b/>
          <w:color w:val="000000"/>
          <w:sz w:val="24"/>
          <w:szCs w:val="24"/>
          <w:lang w:val="en-GB"/>
        </w:rPr>
        <w:t xml:space="preserve"> </w:t>
      </w:r>
    </w:p>
    <w:p>
      <w:pPr>
        <w:pStyle w:val="Normal"/>
        <w:spacing w:lineRule="auto" w:line="360"/>
        <w:jc w:val="both"/>
        <w:rPr>
          <w:rFonts w:ascii="Times New Roman" w:hAnsi="Times New Roman"/>
          <w:color w:val="000000"/>
          <w:sz w:val="24"/>
          <w:szCs w:val="24"/>
        </w:rPr>
      </w:pPr>
      <w:r>
        <w:rPr>
          <w:rFonts w:cs="Arial" w:ascii="Times New Roman" w:hAnsi="Times New Roman"/>
          <w:color w:val="000000"/>
          <w:sz w:val="24"/>
          <w:szCs w:val="24"/>
          <w:lang w:val="en-GB"/>
        </w:rPr>
        <w:t xml:space="preserve">This Cooperation Agreement shall enter into force on the date of the last signature and shall have a duration of five (05) years. </w:t>
      </w:r>
    </w:p>
    <w:p>
      <w:pPr>
        <w:pStyle w:val="Normal"/>
        <w:widowControl/>
        <w:bidi w:val="0"/>
        <w:spacing w:lineRule="auto" w:line="360"/>
        <w:ind w:left="680" w:right="0" w:hanging="0"/>
        <w:jc w:val="both"/>
        <w:rPr>
          <w:rFonts w:ascii="Times New Roman" w:hAnsi="Times New Roman"/>
          <w:color w:val="000000"/>
          <w:sz w:val="24"/>
          <w:szCs w:val="24"/>
        </w:rPr>
      </w:pPr>
      <w:r>
        <w:rPr>
          <w:rFonts w:cs="Arial" w:ascii="Times New Roman" w:hAnsi="Times New Roman"/>
          <w:b/>
          <w:bCs/>
          <w:color w:val="000000"/>
          <w:sz w:val="24"/>
          <w:szCs w:val="24"/>
          <w:lang w:val="en-GB"/>
        </w:rPr>
        <w:t>3.1</w:t>
      </w:r>
      <w:r>
        <w:rPr>
          <w:rFonts w:cs="Arial" w:ascii="Times New Roman" w:hAnsi="Times New Roman"/>
          <w:color w:val="000000"/>
          <w:sz w:val="24"/>
          <w:szCs w:val="24"/>
          <w:lang w:val="en-GB"/>
        </w:rPr>
        <w:t xml:space="preserve"> Either party may terminate this Agreement at any time by mutual agreement or by written notice to the other party(ies) six months in advance.</w:t>
      </w:r>
      <w:r>
        <w:rPr>
          <w:rFonts w:cs="Arial" w:ascii="Times New Roman" w:hAnsi="Times New Roman"/>
          <w:caps w:val="false"/>
          <w:smallCaps w:val="false"/>
          <w:color w:val="000000"/>
          <w:spacing w:val="0"/>
          <w:sz w:val="24"/>
          <w:szCs w:val="24"/>
          <w:lang w:val="en-GB"/>
        </w:rPr>
        <w:t xml:space="preserve"> </w:t>
      </w:r>
      <w:r>
        <w:rPr>
          <w:rFonts w:cs="Arial" w:ascii="Times New Roman" w:hAnsi="Times New Roman"/>
          <w:color w:val="000000"/>
          <w:sz w:val="24"/>
          <w:szCs w:val="24"/>
          <w:lang w:val="en-GB"/>
        </w:rPr>
        <w:t xml:space="preserve">a) In no case shall such termination affect activities that are underway before the effective date of expiration. </w:t>
      </w:r>
    </w:p>
    <w:p>
      <w:pPr>
        <w:pStyle w:val="Normal"/>
        <w:spacing w:lineRule="auto" w:line="360"/>
        <w:ind w:left="0" w:right="0" w:hanging="0"/>
        <w:jc w:val="both"/>
        <w:rPr>
          <w:rFonts w:ascii="Times New Roman" w:hAnsi="Times New Roman"/>
          <w:b/>
          <w:b/>
          <w:color w:val="000000"/>
          <w:sz w:val="24"/>
          <w:szCs w:val="24"/>
        </w:rPr>
      </w:pPr>
      <w:r>
        <w:rPr>
          <w:rFonts w:ascii="Times New Roman" w:hAnsi="Times New Roman"/>
          <w:b/>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color w:val="000000"/>
          <w:sz w:val="24"/>
          <w:szCs w:val="24"/>
          <w:lang w:val="en-GB"/>
        </w:rPr>
        <w:t xml:space="preserve">4. </w:t>
      </w:r>
      <w:r>
        <w:rPr>
          <w:rFonts w:cs="Calibri" w:ascii="Times New Roman" w:hAnsi="Times New Roman"/>
          <w:b/>
          <w:color w:val="000000"/>
          <w:sz w:val="24"/>
          <w:szCs w:val="24"/>
          <w:lang w:val="en-GB"/>
        </w:rPr>
        <w:t xml:space="preserve">ARTICLE FOUR – TERMINATION </w:t>
      </w:r>
    </w:p>
    <w:p>
      <w:pPr>
        <w:pStyle w:val="Normal"/>
        <w:spacing w:lineRule="auto" w:line="360"/>
        <w:jc w:val="both"/>
        <w:rPr>
          <w:rFonts w:ascii="Times New Roman" w:hAnsi="Times New Roman"/>
          <w:color w:val="000000"/>
          <w:sz w:val="24"/>
          <w:szCs w:val="24"/>
        </w:rPr>
      </w:pPr>
      <w:r>
        <w:rPr>
          <w:rFonts w:cs="Calibri" w:ascii="Times New Roman" w:hAnsi="Times New Roman"/>
          <w:b w:val="false"/>
          <w:bCs w:val="false"/>
          <w:color w:val="000000"/>
          <w:sz w:val="24"/>
          <w:szCs w:val="24"/>
          <w:lang w:val="en-GB"/>
        </w:rPr>
        <w:t>This Cooperation Agreement may be terminated and/or rescinded by either party, provided that the party wishing to do so notifies the other party in writing at least thirty days in advance.</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 xml:space="preserve">Ongoing activities, under previously approved projects covered by a Cooperation Agreement, will not be affected and, consequently, must be completed even if one of the parties terminates the agreement. </w:t>
      </w:r>
    </w:p>
    <w:p>
      <w:pPr>
        <w:pStyle w:val="Normal"/>
        <w:spacing w:lineRule="auto" w:line="360"/>
        <w:jc w:val="both"/>
        <w:rPr>
          <w:rFonts w:cs="Calibri"/>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cs="Calibri"/>
          <w:b/>
          <w:b/>
          <w:color w:val="000000"/>
          <w:sz w:val="24"/>
          <w:szCs w:val="24"/>
          <w:lang w:val="en-GB"/>
        </w:rPr>
      </w:pPr>
      <w:r>
        <w:rPr>
          <w:rFonts w:cs="Calibri" w:ascii="Times New Roman" w:hAnsi="Times New Roman"/>
          <w:b/>
          <w:bCs/>
          <w:color w:val="000000"/>
          <w:sz w:val="24"/>
          <w:szCs w:val="24"/>
          <w:lang w:val="en-GB"/>
        </w:rPr>
        <w:t>5. ARTICLE FIVE – FINANCIAL RESOURCES</w:t>
      </w:r>
    </w:p>
    <w:p>
      <w:pPr>
        <w:pStyle w:val="Normal"/>
        <w:spacing w:lineRule="auto" w:line="360"/>
        <w:jc w:val="both"/>
        <w:rPr>
          <w:rFonts w:ascii="Times New Roman" w:hAnsi="Times New Roman"/>
          <w:b w:val="false"/>
          <w:b w:val="false"/>
          <w:bCs w:val="false"/>
          <w:color w:val="000000"/>
          <w:sz w:val="24"/>
          <w:szCs w:val="24"/>
        </w:rPr>
      </w:pPr>
      <w:r>
        <w:rPr>
          <w:rFonts w:cs="Calibri" w:ascii="Times New Roman" w:hAnsi="Times New Roman"/>
          <w:b w:val="false"/>
          <w:bCs w:val="false"/>
          <w:color w:val="000000"/>
          <w:sz w:val="24"/>
          <w:szCs w:val="24"/>
          <w:lang w:val="en-GB"/>
        </w:rPr>
        <w:t>Each Institution shall make every effort to raise funds from internal and external sources in order to make the cooperation programs possible.</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 xml:space="preserve">Therefore, there will be no transfer of financial resources between the parties. </w:t>
      </w:r>
    </w:p>
    <w:p>
      <w:pPr>
        <w:pStyle w:val="Normal"/>
        <w:spacing w:lineRule="auto" w:line="360"/>
        <w:jc w:val="both"/>
        <w:rPr>
          <w:rFonts w:cs="Calibri"/>
          <w:lang w:val="en-GB"/>
        </w:rPr>
      </w:pPr>
      <w:r>
        <w:rPr>
          <w:rFonts w:ascii="Times New Roman" w:hAnsi="Times New Roman"/>
          <w:b w:val="false"/>
          <w:bCs w:val="false"/>
          <w:color w:val="000000"/>
          <w:sz w:val="24"/>
          <w:szCs w:val="24"/>
        </w:rPr>
      </w:r>
    </w:p>
    <w:p>
      <w:pPr>
        <w:pStyle w:val="Normal"/>
        <w:widowControl/>
        <w:bidi w:val="0"/>
        <w:spacing w:lineRule="auto" w:line="360"/>
        <w:ind w:left="0" w:right="0" w:firstLine="680"/>
        <w:jc w:val="both"/>
        <w:rPr>
          <w:rFonts w:ascii="Times New Roman" w:hAnsi="Times New Roman"/>
          <w:b w:val="false"/>
          <w:b w:val="false"/>
          <w:bCs w:val="false"/>
          <w:color w:val="000000"/>
          <w:sz w:val="24"/>
          <w:szCs w:val="24"/>
        </w:rPr>
      </w:pPr>
      <w:r>
        <w:rPr>
          <w:rFonts w:cs="Calibri" w:ascii="Times New Roman" w:hAnsi="Times New Roman"/>
          <w:b w:val="false"/>
          <w:bCs w:val="false"/>
          <w:color w:val="000000"/>
          <w:sz w:val="24"/>
          <w:szCs w:val="24"/>
          <w:lang w:val="en-GB"/>
        </w:rPr>
        <w:t>5.1.</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The student(s) participating in the exchange program will pay all academic fees corresponding to their home institution and will be exempt from tuition fees at the host institution.</w:t>
      </w:r>
    </w:p>
    <w:p>
      <w:pPr>
        <w:pStyle w:val="Normal"/>
        <w:widowControl/>
        <w:bidi w:val="0"/>
        <w:spacing w:lineRule="auto" w:line="360"/>
        <w:ind w:left="0" w:right="0" w:firstLine="680"/>
        <w:jc w:val="both"/>
        <w:rPr>
          <w:rFonts w:cs="Calibri"/>
          <w:lang w:val="en-GB"/>
        </w:rPr>
      </w:pPr>
      <w:r>
        <w:rPr>
          <w:rFonts w:ascii="Times New Roman" w:hAnsi="Times New Roman"/>
          <w:b w:val="false"/>
          <w:bCs w:val="false"/>
          <w:color w:val="000000"/>
          <w:sz w:val="24"/>
          <w:szCs w:val="24"/>
        </w:rPr>
      </w:r>
    </w:p>
    <w:p>
      <w:pPr>
        <w:pStyle w:val="Normal"/>
        <w:widowControl/>
        <w:bidi w:val="0"/>
        <w:spacing w:lineRule="auto" w:line="360"/>
        <w:ind w:left="0" w:right="0" w:firstLine="680"/>
        <w:jc w:val="both"/>
        <w:rPr>
          <w:rFonts w:ascii="Times New Roman" w:hAnsi="Times New Roman"/>
          <w:b w:val="false"/>
          <w:b w:val="false"/>
          <w:bCs w:val="false"/>
          <w:color w:val="000000"/>
          <w:sz w:val="24"/>
          <w:szCs w:val="24"/>
        </w:rPr>
      </w:pPr>
      <w:r>
        <w:rPr>
          <w:rFonts w:cs="Calibri" w:ascii="Times New Roman" w:hAnsi="Times New Roman"/>
          <w:b w:val="false"/>
          <w:bCs w:val="false"/>
          <w:color w:val="000000"/>
          <w:sz w:val="24"/>
          <w:szCs w:val="24"/>
          <w:lang w:val="en-GB"/>
        </w:rPr>
        <w:t>5.2.</w:t>
      </w:r>
      <w:r>
        <w:rPr>
          <w:rFonts w:cs="Calibri" w:ascii="Times New Roman" w:hAnsi="Times New Roman"/>
          <w:b w:val="false"/>
          <w:bCs w:val="false"/>
          <w:caps w:val="false"/>
          <w:smallCaps w:val="false"/>
          <w:color w:val="000000"/>
          <w:spacing w:val="0"/>
          <w:sz w:val="24"/>
          <w:szCs w:val="24"/>
          <w:lang w:val="en-GB"/>
        </w:rPr>
        <w:t xml:space="preserve"> </w:t>
      </w:r>
      <w:r>
        <w:rPr>
          <w:rFonts w:cs="Calibri" w:ascii="Times New Roman" w:hAnsi="Times New Roman"/>
          <w:b w:val="false"/>
          <w:bCs w:val="false"/>
          <w:color w:val="000000"/>
          <w:sz w:val="24"/>
          <w:szCs w:val="24"/>
          <w:lang w:val="en-GB"/>
        </w:rPr>
        <w:t xml:space="preserve">Exchange students will be individually responsible for their maintenance, accommodation, travel and visa expenses, health insurance, books, and other personal expenses, unless the parties agree in advance to cover some or all of these costs. </w:t>
      </w:r>
    </w:p>
    <w:p>
      <w:pPr>
        <w:pStyle w:val="Normal"/>
        <w:spacing w:lineRule="auto" w:line="360"/>
        <w:ind w:firstLine="567"/>
        <w:jc w:val="both"/>
        <w:rPr>
          <w:rFonts w:ascii="Times New Roman" w:hAnsi="Times New Roman" w:cs="Arial"/>
          <w:color w:val="000000"/>
          <w:sz w:val="24"/>
          <w:szCs w:val="24"/>
          <w:lang w:val="en-GB"/>
        </w:rPr>
      </w:pPr>
      <w:r>
        <w:rPr>
          <w:rFonts w:cs="Arial" w:ascii="Times New Roman" w:hAnsi="Times New Roman"/>
          <w:color w:val="000000"/>
          <w:sz w:val="24"/>
          <w:szCs w:val="24"/>
          <w:lang w:val="en-GB"/>
        </w:rPr>
      </w:r>
    </w:p>
    <w:p>
      <w:pPr>
        <w:pStyle w:val="Normal"/>
        <w:spacing w:lineRule="auto" w:line="360"/>
        <w:jc w:val="both"/>
        <w:rPr>
          <w:rFonts w:ascii="Times New Roman" w:hAnsi="Times New Roman" w:cs="Arial"/>
          <w:b w:val="false"/>
          <w:b w:val="false"/>
          <w:bCs w:val="false"/>
          <w:sz w:val="24"/>
          <w:szCs w:val="24"/>
          <w:lang w:val="en-GB"/>
        </w:rPr>
      </w:pPr>
      <w:r>
        <w:rPr>
          <w:rFonts w:cs="Arial" w:ascii="Times New Roman" w:hAnsi="Times New Roman"/>
          <w:b/>
          <w:bCs/>
          <w:color w:val="000000"/>
          <w:sz w:val="24"/>
          <w:szCs w:val="24"/>
          <w:lang w:val="en-GB"/>
        </w:rPr>
        <w:t>6. SIXTH CLAUSE – CONFIDENTIALITY AND INTELLECTUAL PROPERTY</w:t>
      </w:r>
    </w:p>
    <w:p>
      <w:pPr>
        <w:pStyle w:val="Normal"/>
        <w:spacing w:lineRule="auto" w:line="36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1. The parties shall maintain the confidentiality of information classified as confidential by the party providing the information, as a result of the execution of this Agreement.</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a) The knowledge acquired during the execution of this Agreement, as well as the results arising from experiments and/or research, may be freely used by the parties for publication purposes, as well as in their teaching and research activities, subject to: </w:t>
      </w:r>
    </w:p>
    <w:p>
      <w:pPr>
        <w:pStyle w:val="Normal"/>
        <w:widowControl/>
        <w:bidi w:val="0"/>
        <w:spacing w:lineRule="auto" w:line="360"/>
        <w:ind w:left="68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i) The restrictions imposed in item 1 of this clause;</w:t>
      </w:r>
      <w:r>
        <w:rPr>
          <w:rFonts w:cs="Arial" w:ascii="Times New Roman" w:hAnsi="Times New Roman"/>
          <w:b w:val="false"/>
          <w:bCs w:val="false"/>
          <w:caps w:val="false"/>
          <w:smallCaps w:val="false"/>
          <w:color w:val="000000"/>
          <w:spacing w:val="0"/>
          <w:sz w:val="24"/>
          <w:szCs w:val="24"/>
          <w:lang w:val="en-GB"/>
        </w:rPr>
        <w:t xml:space="preserve"> </w:t>
      </w:r>
    </w:p>
    <w:p>
      <w:pPr>
        <w:pStyle w:val="Normal"/>
        <w:widowControl/>
        <w:bidi w:val="0"/>
        <w:spacing w:lineRule="auto" w:line="360"/>
        <w:ind w:left="680" w:right="0" w:hanging="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ii) The restrictions arising from the need to obtain legal protection of the project results, when applicable.</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b) Technical-scientific publications resulting from the execution of this Agreement shall explicitly mention the participation of all parties as co-participating or supporting entities, depending on whether the work was carried out jointly or not.</w:t>
      </w:r>
      <w:r>
        <w:rPr>
          <w:rFonts w:cs="Arial" w:ascii="Times New Roman" w:hAnsi="Times New Roman"/>
          <w:b w:val="false"/>
          <w:bCs w:val="false"/>
          <w:caps w:val="false"/>
          <w:smallCaps w:val="false"/>
          <w:color w:val="000000"/>
          <w:spacing w:val="0"/>
          <w:sz w:val="24"/>
          <w:szCs w:val="24"/>
          <w:lang w:val="en-GB"/>
        </w:rPr>
        <w:t xml:space="preserve"> </w:t>
      </w:r>
    </w:p>
    <w:p>
      <w:pPr>
        <w:pStyle w:val="Normal"/>
        <w:spacing w:lineRule="auto" w:line="360"/>
        <w:jc w:val="both"/>
        <w:rPr>
          <w:rFonts w:cs="Arial"/>
          <w:b w:val="false"/>
          <w:b w:val="false"/>
          <w:bCs w:val="false"/>
          <w:caps w:val="false"/>
          <w:smallCaps w:val="false"/>
          <w:spacing w:val="0"/>
          <w:lang w:val="en-GB"/>
        </w:rPr>
      </w:pPr>
      <w:r>
        <w:rPr>
          <w:rFonts w:ascii="Times New Roman" w:hAnsi="Times New Roman"/>
          <w:color w:val="000000"/>
          <w:sz w:val="24"/>
          <w:szCs w:val="24"/>
        </w:rPr>
      </w:r>
    </w:p>
    <w:p>
      <w:pPr>
        <w:pStyle w:val="Normal"/>
        <w:widowControl/>
        <w:bidi w:val="0"/>
        <w:spacing w:lineRule="auto" w:line="360"/>
        <w:ind w:left="0" w:right="0" w:hanging="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2. The provisions of this confidentiality clause do not apply to information and/or data that:</w:t>
      </w:r>
    </w:p>
    <w:p>
      <w:pPr>
        <w:pStyle w:val="Normal"/>
        <w:widowControl/>
        <w:bidi w:val="0"/>
        <w:spacing w:lineRule="auto" w:line="360"/>
        <w:ind w:left="0" w:right="0" w:firstLine="68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a) Are already in the public domain at the time they were disclosed;</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b) Become public domain after their disclosure, without the disclosure being made in violation of the provisions of this Agreement;</w:t>
      </w:r>
      <w:r>
        <w:rPr>
          <w:rFonts w:cs="Arial" w:ascii="Times New Roman" w:hAnsi="Times New Roman"/>
          <w:b w:val="false"/>
          <w:bCs w:val="false"/>
          <w:caps w:val="false"/>
          <w:smallCaps w:val="false"/>
          <w:color w:val="000000"/>
          <w:spacing w:val="0"/>
          <w:sz w:val="24"/>
          <w:szCs w:val="24"/>
          <w:lang w:val="en-GB"/>
        </w:rPr>
        <w:t xml:space="preserve"> </w:t>
      </w:r>
    </w:p>
    <w:p>
      <w:pPr>
        <w:pStyle w:val="Normal"/>
        <w:widowControl/>
        <w:bidi w:val="0"/>
        <w:spacing w:lineRule="auto" w:line="360"/>
        <w:ind w:left="0" w:right="0" w:firstLine="68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c) Are already notoriously known to the receiving party before they were disclosed to it;</w:t>
      </w:r>
      <w:r>
        <w:rPr>
          <w:rFonts w:cs="Arial" w:ascii="Times New Roman" w:hAnsi="Times New Roman"/>
          <w:b w:val="false"/>
          <w:bCs w:val="false"/>
          <w:caps w:val="false"/>
          <w:smallCaps w:val="false"/>
          <w:color w:val="000000"/>
          <w:spacing w:val="0"/>
          <w:sz w:val="24"/>
          <w:szCs w:val="24"/>
          <w:lang w:val="en-GB"/>
        </w:rPr>
        <w:t xml:space="preserve"> </w:t>
      </w:r>
      <w:r>
        <w:rPr>
          <w:rFonts w:cs="Arial" w:ascii="Times New Roman" w:hAnsi="Times New Roman"/>
          <w:b w:val="false"/>
          <w:bCs w:val="false"/>
          <w:color w:val="000000"/>
          <w:sz w:val="24"/>
          <w:szCs w:val="24"/>
          <w:lang w:val="en-GB"/>
        </w:rPr>
        <w:t>and</w:t>
      </w:r>
    </w:p>
    <w:p>
      <w:pPr>
        <w:pStyle w:val="Normal"/>
        <w:widowControl/>
        <w:bidi w:val="0"/>
        <w:spacing w:lineRule="auto" w:line="360"/>
        <w:ind w:left="0" w:right="0" w:firstLine="68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d) Are legally disclosed to the receiving party by third parties who do not hold them under a confidentiality obligation.</w:t>
      </w:r>
    </w:p>
    <w:p>
      <w:pPr>
        <w:pStyle w:val="Normal"/>
        <w:spacing w:lineRule="auto" w:line="360"/>
        <w:jc w:val="both"/>
        <w:rPr>
          <w:rFonts w:cs="Arial"/>
          <w:b w:val="false"/>
          <w:b w:val="false"/>
          <w:bCs w:val="false"/>
          <w:caps w:val="false"/>
          <w:smallCaps w:val="false"/>
          <w:spacing w:val="0"/>
          <w:lang w:val="en-GB"/>
        </w:rPr>
      </w:pPr>
      <w:r>
        <w:rPr>
          <w:rFonts w:ascii="Times New Roman" w:hAnsi="Times New Roman"/>
          <w:color w:val="000000"/>
          <w:sz w:val="24"/>
          <w:szCs w:val="24"/>
        </w:rPr>
      </w:r>
    </w:p>
    <w:p>
      <w:pPr>
        <w:pStyle w:val="Normal"/>
        <w:spacing w:lineRule="auto" w:line="36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3. Any technological development subject to intellectual property protection, in any modality, resulting from the execution of this cooperation, shall have its ownership shared between the two parties in the proportion of 50% (fifty percent) for each party.</w:t>
      </w:r>
    </w:p>
    <w:p>
      <w:pPr>
        <w:pStyle w:val="Normal"/>
        <w:spacing w:lineRule="auto" w:line="360"/>
        <w:jc w:val="both"/>
        <w:rPr>
          <w:rFonts w:cs="Arial"/>
          <w:b w:val="false"/>
          <w:b w:val="false"/>
          <w:bCs w:val="false"/>
          <w:caps w:val="false"/>
          <w:smallCaps w:val="false"/>
          <w:spacing w:val="0"/>
          <w:lang w:val="en-GB"/>
        </w:rPr>
      </w:pPr>
      <w:r>
        <w:rPr>
          <w:rFonts w:ascii="Times New Roman" w:hAnsi="Times New Roman"/>
          <w:color w:val="000000"/>
          <w:sz w:val="24"/>
          <w:szCs w:val="24"/>
        </w:rPr>
      </w:r>
    </w:p>
    <w:p>
      <w:pPr>
        <w:pStyle w:val="Normal"/>
        <w:spacing w:lineRule="auto" w:line="360"/>
        <w:jc w:val="both"/>
        <w:rPr>
          <w:rFonts w:ascii="Times New Roman" w:hAnsi="Times New Roman" w:cs="Arial"/>
          <w:b w:val="false"/>
          <w:b w:val="false"/>
          <w:bCs w:val="false"/>
          <w:caps w:val="false"/>
          <w:smallCaps w:val="false"/>
          <w:color w:val="3C4043"/>
          <w:spacing w:val="0"/>
          <w:sz w:val="24"/>
          <w:szCs w:val="24"/>
          <w:lang w:val="en-GB"/>
        </w:rPr>
      </w:pPr>
      <w:r>
        <w:rPr>
          <w:rFonts w:cs="Arial" w:ascii="Times New Roman" w:hAnsi="Times New Roman"/>
          <w:b w:val="false"/>
          <w:bCs w:val="false"/>
          <w:color w:val="000000"/>
          <w:sz w:val="24"/>
          <w:szCs w:val="24"/>
          <w:lang w:val="en-GB"/>
        </w:rPr>
        <w:t>4. The division of ownership over the intellectual property provided for in the previous clause may be redefined by means of a separate instrument if the parties so agree.</w:t>
      </w:r>
    </w:p>
    <w:p>
      <w:pPr>
        <w:pStyle w:val="Normal"/>
        <w:spacing w:lineRule="auto" w:line="360"/>
        <w:jc w:val="both"/>
        <w:rPr>
          <w:rFonts w:cs="Arial"/>
          <w:b w:val="false"/>
          <w:b w:val="false"/>
          <w:bCs w:val="false"/>
          <w:caps w:val="false"/>
          <w:smallCaps w:val="false"/>
          <w:spacing w:val="0"/>
          <w:lang w:val="en-GB"/>
        </w:rPr>
      </w:pPr>
      <w:r>
        <w:rPr>
          <w:rFonts w:ascii="Times New Roman" w:hAnsi="Times New Roman"/>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5. The assignment or transfer of the results to third parties must have the express consent of all parties involved.</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b/>
          <w:b/>
          <w:bCs/>
          <w:color w:val="000000"/>
          <w:sz w:val="24"/>
          <w:szCs w:val="24"/>
        </w:rPr>
      </w:pPr>
      <w:r>
        <w:rPr>
          <w:rFonts w:cs="Arial" w:ascii="Times New Roman" w:hAnsi="Times New Roman"/>
          <w:b/>
          <w:bCs/>
          <w:color w:val="000000"/>
          <w:sz w:val="24"/>
          <w:szCs w:val="24"/>
          <w:lang w:val="en-GB"/>
        </w:rPr>
        <w:t xml:space="preserve">7. </w:t>
      </w:r>
      <w:r>
        <w:rPr>
          <w:rFonts w:cs="Arial" w:ascii="Times New Roman" w:hAnsi="Times New Roman"/>
          <w:b/>
          <w:bCs/>
          <w:color w:val="000000"/>
          <w:sz w:val="24"/>
          <w:szCs w:val="24"/>
          <w:lang w:val="en-GB"/>
        </w:rPr>
        <w:t>ARTICLE SEVEN – OF THE COORDINATORS</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To supervise the execution of the activities foreseen in this Agreement, the following coordinators have been appointed: </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 </w:t>
      </w:r>
      <w:r>
        <w:rPr>
          <w:rFonts w:cs="Arial" w:ascii="Times New Roman" w:hAnsi="Times New Roman"/>
          <w:b w:val="false"/>
          <w:bCs w:val="false"/>
          <w:color w:val="000000"/>
          <w:sz w:val="24"/>
          <w:szCs w:val="24"/>
          <w:lang w:val="en-GB"/>
        </w:rPr>
        <w:t xml:space="preserve">[Full Name], from the [Academic Instance or Unit] (UFRRJ); and </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 </w:t>
      </w:r>
      <w:r>
        <w:rPr>
          <w:rFonts w:cs="Arial" w:ascii="Times New Roman" w:hAnsi="Times New Roman"/>
          <w:b w:val="false"/>
          <w:bCs w:val="false"/>
          <w:color w:val="000000"/>
          <w:sz w:val="24"/>
          <w:szCs w:val="24"/>
          <w:lang w:val="en-GB"/>
        </w:rPr>
        <w:t xml:space="preserve">[Full Name], from the [Academic Instance or Unit] ([INSTITUTION ACRONYM]). </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b/>
          <w:b/>
          <w:bCs/>
          <w:color w:val="000000"/>
          <w:sz w:val="24"/>
          <w:szCs w:val="24"/>
        </w:rPr>
      </w:pPr>
      <w:r>
        <w:rPr>
          <w:rFonts w:cs="Arial" w:ascii="Times New Roman" w:hAnsi="Times New Roman"/>
          <w:b/>
          <w:bCs/>
          <w:color w:val="000000"/>
          <w:sz w:val="24"/>
          <w:szCs w:val="24"/>
          <w:lang w:val="en-GB"/>
        </w:rPr>
        <w:t xml:space="preserve">8. </w:t>
      </w:r>
      <w:r>
        <w:rPr>
          <w:rFonts w:cs="Arial" w:ascii="Times New Roman" w:hAnsi="Times New Roman"/>
          <w:b/>
          <w:bCs/>
          <w:color w:val="000000"/>
          <w:sz w:val="24"/>
          <w:szCs w:val="24"/>
          <w:lang w:val="en-GB"/>
        </w:rPr>
        <w:t>ARTICLE EIGHT – OF PUBLICATION</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 xml:space="preserve">A summarized version of this instrument will be published in Brazil through a summary extract of this agreement on the UFRRJ website. </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b/>
          <w:b/>
          <w:bCs/>
          <w:color w:val="000000"/>
          <w:sz w:val="24"/>
          <w:szCs w:val="24"/>
        </w:rPr>
      </w:pPr>
      <w:r>
        <w:rPr>
          <w:rFonts w:cs="Arial" w:ascii="Times New Roman" w:hAnsi="Times New Roman"/>
          <w:b/>
          <w:bCs/>
          <w:color w:val="000000"/>
          <w:sz w:val="24"/>
          <w:szCs w:val="24"/>
          <w:lang w:val="en-GB"/>
        </w:rPr>
        <w:t xml:space="preserve">9. </w:t>
      </w:r>
      <w:r>
        <w:rPr>
          <w:rFonts w:cs="Arial" w:ascii="Times New Roman" w:hAnsi="Times New Roman"/>
          <w:b/>
          <w:bCs/>
          <w:color w:val="000000"/>
          <w:sz w:val="24"/>
          <w:szCs w:val="24"/>
          <w:lang w:val="en-GB"/>
        </w:rPr>
        <w:t>ARTICLE NINE – OF JURISDICTION</w:t>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The parties agree to resolve any doubts or controversies arising from this agreement through consensual negotiation. If this is not possible, the matter will be resolved through arbitration. UFRRJ will choose one arbitrator and the other party will choose a second; the third arbitrator shall be chosen by mutual agreement.</w:t>
      </w:r>
    </w:p>
    <w:p>
      <w:pPr>
        <w:pStyle w:val="Normal"/>
        <w:spacing w:lineRule="auto" w:line="360"/>
        <w:jc w:val="both"/>
        <w:rPr>
          <w:rFonts w:cs="Arial"/>
          <w:b w:val="false"/>
          <w:b w:val="false"/>
          <w:bCs w:val="false"/>
          <w:lang w:val="en-GB"/>
        </w:rPr>
      </w:pPr>
      <w:r>
        <w:rPr>
          <w:rFonts w:ascii="Times New Roman" w:hAnsi="Times New Roman"/>
          <w:color w:val="000000"/>
          <w:sz w:val="24"/>
          <w:szCs w:val="24"/>
        </w:rPr>
      </w:r>
    </w:p>
    <w:p>
      <w:pPr>
        <w:pStyle w:val="Normal"/>
        <w:spacing w:lineRule="auto" w:line="360"/>
        <w:jc w:val="both"/>
        <w:rPr>
          <w:rFonts w:ascii="Times New Roman" w:hAnsi="Times New Roman"/>
          <w:color w:val="000000"/>
          <w:sz w:val="24"/>
          <w:szCs w:val="24"/>
        </w:rPr>
      </w:pPr>
      <w:r>
        <w:rPr>
          <w:rFonts w:cs="Arial" w:ascii="Times New Roman" w:hAnsi="Times New Roman"/>
          <w:b w:val="false"/>
          <w:bCs w:val="false"/>
          <w:color w:val="000000"/>
          <w:sz w:val="24"/>
          <w:szCs w:val="24"/>
          <w:lang w:val="en-GB"/>
        </w:rPr>
        <w:t>And thus, in agreement, the parties declared herein sign this instrument in Portuguese and in Spanish/English, with both versions having equal legal force, by means of certified electronic signature.</w:t>
      </w:r>
    </w:p>
    <w:p>
      <w:pPr>
        <w:pStyle w:val="Normal"/>
        <w:spacing w:lineRule="auto" w:line="360"/>
        <w:rPr>
          <w:rFonts w:cs="Arial"/>
          <w:b w:val="false"/>
          <w:b w:val="false"/>
          <w:bCs w:val="false"/>
          <w:lang w:val="en-GB"/>
        </w:rPr>
      </w:pPr>
      <w:r>
        <w:rPr>
          <w:rFonts w:ascii="Times New Roman" w:hAnsi="Times New Roman"/>
          <w:color w:val="000000"/>
          <w:sz w:val="24"/>
          <w:szCs w:val="24"/>
        </w:rPr>
      </w:r>
    </w:p>
    <w:p>
      <w:pPr>
        <w:pStyle w:val="Normal"/>
        <w:spacing w:lineRule="auto" w:line="360"/>
        <w:ind w:left="0" w:right="0" w:hanging="0"/>
        <w:jc w:val="both"/>
        <w:rPr>
          <w:rFonts w:cs="Arial"/>
        </w:rPr>
      </w:pPr>
      <w:r>
        <w:rPr>
          <w:rFonts w:cs="Arial"/>
        </w:rPr>
      </w:r>
    </w:p>
    <w:tbl>
      <w:tblPr>
        <w:tblW w:w="9165" w:type="dxa"/>
        <w:jc w:val="left"/>
        <w:tblInd w:w="39" w:type="dxa"/>
        <w:tblBorders/>
        <w:tblCellMar>
          <w:top w:w="0" w:type="dxa"/>
          <w:left w:w="70" w:type="dxa"/>
          <w:bottom w:w="0" w:type="dxa"/>
          <w:right w:w="70" w:type="dxa"/>
        </w:tblCellMar>
        <w:tblLook w:val="04a0"/>
      </w:tblPr>
      <w:tblGrid>
        <w:gridCol w:w="4559"/>
        <w:gridCol w:w="4605"/>
      </w:tblGrid>
      <w:tr>
        <w:trPr/>
        <w:tc>
          <w:tcPr>
            <w:tcW w:w="4559" w:type="dxa"/>
            <w:tcBorders/>
            <w:shd w:fill="auto" w:val="clear"/>
          </w:tcPr>
          <w:p>
            <w:pPr>
              <w:pStyle w:val="Normal"/>
              <w:spacing w:lineRule="auto" w:line="360"/>
              <w:ind w:left="0" w:right="0" w:hanging="0"/>
              <w:jc w:val="both"/>
              <w:rPr>
                <w:rFonts w:cs="Arial"/>
              </w:rPr>
            </w:pPr>
            <w:r>
              <w:rPr>
                <w:rFonts w:cs="Arial"/>
              </w:rPr>
            </w:r>
          </w:p>
          <w:p>
            <w:pPr>
              <w:pStyle w:val="Normal"/>
              <w:spacing w:lineRule="auto" w:line="360"/>
              <w:ind w:left="0" w:right="0" w:hanging="0"/>
              <w:jc w:val="both"/>
              <w:rPr>
                <w:rFonts w:ascii="Times New Roman" w:hAnsi="Times New Roman"/>
                <w:b w:val="false"/>
                <w:b w:val="false"/>
                <w:bCs w:val="false"/>
                <w:smallCaps/>
                <w:sz w:val="22"/>
                <w:szCs w:val="22"/>
              </w:rPr>
            </w:pPr>
            <w:bookmarkStart w:id="2" w:name="__DdeLink__1945_1564243876"/>
            <w:r>
              <w:rPr>
                <w:rFonts w:cs="Arial" w:ascii="Times New Roman" w:hAnsi="Times New Roman"/>
                <w:b w:val="false"/>
                <w:bCs w:val="false"/>
                <w:smallCaps/>
                <w:sz w:val="22"/>
                <w:szCs w:val="22"/>
              </w:rPr>
              <w:t>Place and date: ….................................</w:t>
            </w:r>
            <w:bookmarkEnd w:id="2"/>
            <w:r>
              <w:rPr>
                <w:rFonts w:cs="Arial" w:ascii="Times New Roman" w:hAnsi="Times New Roman"/>
                <w:b w:val="false"/>
                <w:bCs w:val="false"/>
                <w:smallCaps/>
                <w:sz w:val="22"/>
                <w:szCs w:val="22"/>
              </w:rPr>
              <w:t>…</w:t>
            </w:r>
          </w:p>
        </w:tc>
        <w:tc>
          <w:tcPr>
            <w:tcW w:w="4605" w:type="dxa"/>
            <w:tcBorders/>
            <w:shd w:fill="auto" w:val="clear"/>
          </w:tcPr>
          <w:p>
            <w:pPr>
              <w:pStyle w:val="Normal"/>
              <w:spacing w:lineRule="auto" w:line="360"/>
              <w:ind w:left="0" w:right="0" w:hanging="0"/>
              <w:jc w:val="both"/>
              <w:rPr>
                <w:rFonts w:cs="Arial"/>
              </w:rPr>
            </w:pPr>
            <w:r>
              <w:rPr>
                <w:rFonts w:cs="Arial"/>
              </w:rPr>
            </w:r>
          </w:p>
          <w:p>
            <w:pPr>
              <w:pStyle w:val="Normal"/>
              <w:spacing w:lineRule="auto" w:line="360"/>
              <w:ind w:left="0" w:right="0" w:hanging="0"/>
              <w:jc w:val="both"/>
              <w:rPr>
                <w:rFonts w:ascii="Times New Roman" w:hAnsi="Times New Roman"/>
                <w:b w:val="false"/>
                <w:b w:val="false"/>
                <w:bCs w:val="false"/>
                <w:smallCaps/>
                <w:sz w:val="22"/>
                <w:szCs w:val="22"/>
              </w:rPr>
            </w:pPr>
            <w:r>
              <w:rPr>
                <w:rFonts w:cs="Arial" w:ascii="Times New Roman" w:hAnsi="Times New Roman"/>
                <w:b w:val="false"/>
                <w:bCs w:val="false"/>
                <w:smallCaps/>
                <w:sz w:val="22"/>
                <w:szCs w:val="22"/>
              </w:rPr>
              <w:t>Place and date: ….................................…</w:t>
            </w:r>
          </w:p>
        </w:tc>
      </w:tr>
      <w:tr>
        <w:trPr/>
        <w:tc>
          <w:tcPr>
            <w:tcW w:w="4559"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t>_______________________________</w:t>
            </w:r>
          </w:p>
        </w:tc>
        <w:tc>
          <w:tcPr>
            <w:tcW w:w="4605" w:type="dxa"/>
            <w:tcBorders/>
            <w:shd w:fill="auto" w:val="clear"/>
          </w:tcPr>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r>
          </w:p>
          <w:p>
            <w:pPr>
              <w:pStyle w:val="Normal"/>
              <w:spacing w:lineRule="auto" w:line="360"/>
              <w:jc w:val="center"/>
              <w:rPr>
                <w:rFonts w:ascii="Times New Roman" w:hAnsi="Times New Roman"/>
                <w:b/>
                <w:b/>
                <w:bCs/>
                <w:smallCaps/>
                <w:sz w:val="24"/>
                <w:szCs w:val="24"/>
              </w:rPr>
            </w:pPr>
            <w:r>
              <w:rPr>
                <w:rFonts w:ascii="Times New Roman" w:hAnsi="Times New Roman"/>
                <w:b/>
                <w:bCs/>
                <w:smallCaps/>
                <w:sz w:val="24"/>
                <w:szCs w:val="24"/>
              </w:rPr>
              <w:t>___________________________________</w:t>
            </w:r>
          </w:p>
        </w:tc>
      </w:tr>
      <w:tr>
        <w:trPr/>
        <w:tc>
          <w:tcPr>
            <w:tcW w:w="4559" w:type="dxa"/>
            <w:tcBorders/>
            <w:shd w:fill="auto" w:val="clear"/>
          </w:tcPr>
          <w:p>
            <w:pPr>
              <w:pStyle w:val="Normal"/>
              <w:spacing w:lineRule="auto" w:line="360"/>
              <w:jc w:val="center"/>
              <w:rPr/>
            </w:pPr>
            <w:r>
              <w:rPr>
                <w:rFonts w:ascii="Times New Roman" w:hAnsi="Times New Roman"/>
                <w:b/>
                <w:color w:val="000000"/>
                <w:sz w:val="24"/>
                <w:szCs w:val="24"/>
              </w:rPr>
              <w:t>ROBERTO DE SOUZA RODRIGUES</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XXXXXXXXXXXXXXX</w:t>
            </w:r>
          </w:p>
        </w:tc>
      </w:tr>
      <w:tr>
        <w:trPr/>
        <w:tc>
          <w:tcPr>
            <w:tcW w:w="4559" w:type="dxa"/>
            <w:tcBorders/>
            <w:shd w:fill="auto" w:val="clear"/>
          </w:tcPr>
          <w:p>
            <w:pPr>
              <w:pStyle w:val="Normal"/>
              <w:spacing w:lineRule="auto" w:line="360"/>
              <w:jc w:val="center"/>
              <w:rPr/>
            </w:pPr>
            <w:r>
              <w:rPr>
                <w:rFonts w:ascii="Times New Roman" w:hAnsi="Times New Roman"/>
                <w:b/>
                <w:bCs/>
                <w:smallCaps/>
                <w:sz w:val="24"/>
                <w:szCs w:val="24"/>
              </w:rPr>
              <w:t>For theUFRRJ</w:t>
            </w:r>
          </w:p>
        </w:tc>
        <w:tc>
          <w:tcPr>
            <w:tcW w:w="4605" w:type="dxa"/>
            <w:tcBorders/>
            <w:shd w:fill="auto" w:val="clear"/>
          </w:tcPr>
          <w:p>
            <w:pPr>
              <w:pStyle w:val="Normal"/>
              <w:spacing w:lineRule="auto" w:line="360"/>
              <w:jc w:val="center"/>
              <w:rPr/>
            </w:pPr>
            <w:r>
              <w:rPr>
                <w:rFonts w:ascii="Times New Roman" w:hAnsi="Times New Roman"/>
                <w:b/>
                <w:bCs/>
                <w:smallCaps/>
                <w:sz w:val="24"/>
                <w:szCs w:val="24"/>
              </w:rPr>
              <w:t>For the ______________</w:t>
            </w:r>
          </w:p>
        </w:tc>
      </w:tr>
    </w:tbl>
    <w:p>
      <w:pPr>
        <w:pStyle w:val="Normal"/>
        <w:rPr/>
      </w:pPr>
      <w:r>
        <w:rPr/>
      </w:r>
    </w:p>
    <w:p>
      <w:pPr>
        <w:pStyle w:val="Normal"/>
        <w:rPr/>
      </w:pPr>
      <w:r>
        <w:rPr/>
      </w:r>
    </w:p>
    <w:p>
      <w:pPr>
        <w:pStyle w:val="Normal"/>
        <w:spacing w:lineRule="auto" w:line="360"/>
        <w:rPr/>
      </w:pPr>
      <w:r>
        <w:rPr/>
      </w:r>
    </w:p>
    <w:sectPr>
      <w:footerReference w:type="default" r:id="rId3"/>
      <w:type w:val="nextPage"/>
      <w:pgSz w:w="11906" w:h="16838"/>
      <w:pgMar w:left="1755" w:right="1134" w:header="0" w:top="1417" w:footer="1134" w:bottom="2337"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imes New Roman">
    <w:charset w:val="0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left"/>
      <w:rPr/>
    </w:pPr>
    <w:r>
      <w:rPr>
        <w:rFonts w:cs="Arial" w:ascii="Times New Roman" w:hAnsi="Times New Roman"/>
        <w:i/>
        <w:iCs/>
        <w:sz w:val="16"/>
        <w:szCs w:val="16"/>
        <w:lang w:val="pt-BR" w:eastAsia="pt-BR"/>
      </w:rPr>
      <w:t>Universidade Federal Rural do Rio de Janeiro – Coordenadoria de Relações Internacionais e Interinstitucionais – CORIN</w:t>
    </w:r>
  </w:p>
  <w:p>
    <w:pPr>
      <w:pStyle w:val="Normal"/>
      <w:jc w:val="left"/>
      <w:rPr/>
    </w:pPr>
    <w:r>
      <w:rPr>
        <w:rFonts w:cs="Arial" w:ascii="Times New Roman" w:hAnsi="Times New Roman"/>
        <w:i/>
        <w:iCs/>
        <w:sz w:val="16"/>
        <w:szCs w:val="16"/>
        <w:lang w:val="pt-BR" w:eastAsia="pt-BR"/>
      </w:rPr>
      <w:t>Processo administrativo nº 23083.xxxxx/20xx-xx</w:t>
    </w:r>
  </w:p>
  <w:p>
    <w:pPr>
      <w:pStyle w:val="Normal"/>
      <w:jc w:val="left"/>
      <w:rPr/>
    </w:pPr>
    <w:r>
      <w:rPr>
        <w:rFonts w:cs="Arial" w:ascii="Times New Roman" w:hAnsi="Times New Roman"/>
        <w:i/>
        <w:iCs/>
        <w:sz w:val="16"/>
        <w:szCs w:val="16"/>
        <w:lang w:val="pt-BR" w:eastAsia="pt-BR"/>
      </w:rPr>
      <w:t>Rod.</w:t>
    </w:r>
    <w:r>
      <w:rPr>
        <w:rFonts w:cs="Arial" w:ascii="Times New Roman" w:hAnsi="Times New Roman"/>
        <w:i/>
        <w:iCs/>
        <w:sz w:val="16"/>
        <w:szCs w:val="16"/>
      </w:rPr>
      <w:t xml:space="preserve"> BR-465, Km 07, Seropédica, Rio de Janeiro, Brasil – CEP: 23.89</w:t>
    </w:r>
    <w:r>
      <w:rPr>
        <w:rFonts w:cs="Arial" w:ascii="Times New Roman" w:hAnsi="Times New Roman"/>
        <w:i/>
        <w:iCs/>
        <w:sz w:val="16"/>
        <w:szCs w:val="16"/>
      </w:rPr>
      <w:t>7</w:t>
    </w:r>
    <w:r>
      <w:rPr>
        <w:rFonts w:cs="Arial" w:ascii="Times New Roman" w:hAnsi="Times New Roman"/>
        <w:i/>
        <w:iCs/>
        <w:sz w:val="16"/>
        <w:szCs w:val="16"/>
      </w:rPr>
      <w:t>-000</w:t>
    </w:r>
  </w:p>
  <w:p>
    <w:pPr>
      <w:pStyle w:val="Normal"/>
      <w:jc w:val="left"/>
      <w:rPr/>
    </w:pPr>
    <w:r>
      <w:rPr>
        <w:rFonts w:cs="Arial" w:ascii="Times New Roman" w:hAnsi="Times New Roman"/>
        <w:i/>
        <w:iCs/>
        <w:sz w:val="16"/>
        <w:szCs w:val="16"/>
        <w:lang w:val="pt-BR" w:eastAsia="pt-BR"/>
      </w:rPr>
      <w:t xml:space="preserve">E-mail: </w:t>
    </w:r>
    <w:hyperlink r:id="rId1">
      <w:r>
        <w:rPr>
          <w:rStyle w:val="LinkdaInternet"/>
          <w:rFonts w:cs="Arial" w:ascii="Times New Roman" w:hAnsi="Times New Roman"/>
          <w:i/>
          <w:iCs/>
          <w:sz w:val="16"/>
          <w:szCs w:val="16"/>
          <w:lang w:val="pt-BR" w:eastAsia="pt-BR"/>
        </w:rPr>
        <w:t>acordos.corin@ufrrj.br</w:t>
      </w:r>
    </w:hyperlink>
  </w:p>
  <w:p>
    <w:pPr>
      <w:pStyle w:val="Normal"/>
      <w:jc w:val="right"/>
      <w:rPr/>
    </w:pPr>
    <w:r>
      <w:rPr>
        <w:rFonts w:cs="Arial" w:ascii="Times New Roman" w:hAnsi="Times New Roman"/>
        <w:i/>
        <w:iCs/>
        <w:sz w:val="16"/>
        <w:szCs w:val="16"/>
      </w:rPr>
      <w:fldChar w:fldCharType="begin"/>
    </w:r>
    <w:r>
      <w:rPr>
        <w:sz w:val="16"/>
        <w:i/>
        <w:szCs w:val="16"/>
        <w:iCs/>
        <w:rFonts w:cs="Arial" w:ascii="Times New Roman" w:hAnsi="Times New Roman"/>
      </w:rPr>
      <w:instrText> PAGE </w:instrText>
    </w:r>
    <w:r>
      <w:rPr>
        <w:sz w:val="16"/>
        <w:i/>
        <w:szCs w:val="16"/>
        <w:iCs/>
        <w:rFonts w:cs="Arial" w:ascii="Times New Roman" w:hAnsi="Times New Roman"/>
      </w:rPr>
      <w:fldChar w:fldCharType="separate"/>
    </w:r>
    <w:r>
      <w:rPr>
        <w:sz w:val="16"/>
        <w:i/>
        <w:szCs w:val="16"/>
        <w:iCs/>
        <w:rFonts w:cs="Arial" w:ascii="Times New Roman" w:hAnsi="Times New Roman"/>
      </w:rPr>
      <w:t>6</w:t>
    </w:r>
    <w:r>
      <w:rPr>
        <w:sz w:val="16"/>
        <w:i/>
        <w:szCs w:val="16"/>
        <w:iCs/>
        <w:rFonts w:cs="Arial" w:ascii="Times New Roman" w:hAnsi="Times New Roman"/>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Ttulo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pt-BR" w:eastAsia="zh-CN" w:bidi="hi-IN"/>
      </w:rPr>
    </w:rPrDefault>
    <w:pPrDefault>
      <w:pPr/>
    </w:pPrDefault>
  </w:docDefaults>
  <w:style w:type="paragraph" w:styleId="Normal">
    <w:name w:val="Normal"/>
    <w:qFormat/>
    <w:pPr>
      <w:widowControl/>
      <w:bidi w:val="0"/>
      <w:jc w:val="left"/>
    </w:pPr>
    <w:rPr>
      <w:rFonts w:ascii="Liberation Serif" w:hAnsi="Liberation Serif" w:eastAsia="NSimSun" w:cs="Arial"/>
      <w:color w:val="auto"/>
      <w:kern w:val="2"/>
      <w:sz w:val="24"/>
      <w:szCs w:val="24"/>
      <w:lang w:val="pt-BR" w:eastAsia="zh-CN" w:bidi="hi-IN"/>
    </w:rPr>
  </w:style>
  <w:style w:type="paragraph" w:styleId="Ttulo2">
    <w:name w:val="Heading 2"/>
    <w:basedOn w:val="Normal"/>
    <w:next w:val="Normal"/>
    <w:qFormat/>
    <w:pPr>
      <w:keepNext w:val="true"/>
      <w:numPr>
        <w:ilvl w:val="1"/>
        <w:numId w:val="1"/>
      </w:numPr>
      <w:jc w:val="both"/>
      <w:outlineLvl w:val="1"/>
    </w:pPr>
    <w:rPr>
      <w:b/>
      <w:sz w:val="24"/>
      <w:szCs w:val="24"/>
      <w:lang w:val="en-GB"/>
    </w:rPr>
  </w:style>
  <w:style w:type="character" w:styleId="WW8Num2z0">
    <w:name w:val="WW8Num2z0"/>
    <w:qFormat/>
    <w:rPr>
      <w:rFonts w:ascii="Times New Roman" w:hAnsi="Times New Roman" w:cs="Arial"/>
      <w:sz w:val="22"/>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Marcas">
    <w:name w:val="Marcas"/>
    <w:qFormat/>
    <w:rPr>
      <w:rFonts w:ascii="OpenSymbol" w:hAnsi="OpenSymbol" w:eastAsia="OpenSymbol" w:cs="OpenSymbol"/>
    </w:rPr>
  </w:style>
  <w:style w:type="character" w:styleId="WW8Num3z0">
    <w:name w:val="WW8Num3z0"/>
    <w:qFormat/>
    <w:rPr>
      <w:rFonts w:ascii="Times New Roman" w:hAnsi="Times New Roman"/>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mbolosdenumerao">
    <w:name w:val="Símbolos de numeração"/>
    <w:qFormat/>
    <w:rPr/>
  </w:style>
  <w:style w:type="character" w:styleId="ListLabel1">
    <w:name w:val="ListLabel 1"/>
    <w:qFormat/>
    <w:rPr>
      <w:rFonts w:ascii="Times New Roman" w:hAnsi="Times New Roman" w:cs="Arial"/>
      <w:b w:val="false"/>
      <w:sz w:val="24"/>
      <w:szCs w:val="22"/>
    </w:rPr>
  </w:style>
  <w:style w:type="character" w:styleId="ListLabel2">
    <w:name w:val="ListLabel 2"/>
    <w:qFormat/>
    <w:rPr>
      <w:rFonts w:ascii="Times New Roman" w:hAnsi="Times New Roman" w:cs="Arial"/>
      <w:b w:val="false"/>
      <w:sz w:val="24"/>
      <w:szCs w:val="22"/>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OpenSymbol"/>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cs="OpenSymbol"/>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cs="OpenSymbol"/>
    </w:rPr>
  </w:style>
  <w:style w:type="character" w:styleId="ListLabel128">
    <w:name w:val="ListLabel 128"/>
    <w:qFormat/>
    <w:rPr>
      <w:rFonts w:cs="OpenSymbol"/>
    </w:rPr>
  </w:style>
  <w:style w:type="character" w:styleId="ListLabel129">
    <w:name w:val="ListLabel 129"/>
    <w:qFormat/>
    <w:rPr>
      <w:rFonts w:cs="OpenSymbol"/>
    </w:rPr>
  </w:style>
  <w:style w:type="character" w:styleId="ListLabel130">
    <w:name w:val="ListLabel 130"/>
    <w:qFormat/>
    <w:rPr>
      <w:rFonts w:cs="OpenSymbol"/>
    </w:rPr>
  </w:style>
  <w:style w:type="character" w:styleId="ListLabel131">
    <w:name w:val="ListLabel 131"/>
    <w:qFormat/>
    <w:rPr>
      <w:rFonts w:cs="OpenSymbol"/>
    </w:rPr>
  </w:style>
  <w:style w:type="character" w:styleId="ListLabel132">
    <w:name w:val="ListLabel 132"/>
    <w:qFormat/>
    <w:rPr>
      <w:rFonts w:cs="OpenSymbol"/>
    </w:rPr>
  </w:style>
  <w:style w:type="character" w:styleId="ListLabel133">
    <w:name w:val="ListLabel 133"/>
    <w:qFormat/>
    <w:rPr>
      <w:rFonts w:cs="OpenSymbol"/>
    </w:rPr>
  </w:style>
  <w:style w:type="character" w:styleId="ListLabel134">
    <w:name w:val="ListLabel 134"/>
    <w:qFormat/>
    <w:rPr>
      <w:rFonts w:cs="OpenSymbol"/>
    </w:rPr>
  </w:style>
  <w:style w:type="character" w:styleId="ListLabel135">
    <w:name w:val="ListLabel 135"/>
    <w:qFormat/>
    <w:rPr>
      <w:rFonts w:cs="OpenSymbol"/>
    </w:rPr>
  </w:style>
  <w:style w:type="character" w:styleId="ListLabel136">
    <w:name w:val="ListLabel 136"/>
    <w:qFormat/>
    <w:rPr>
      <w:rFonts w:cs="OpenSymbol"/>
    </w:rPr>
  </w:style>
  <w:style w:type="character" w:styleId="ListLabel137">
    <w:name w:val="ListLabel 137"/>
    <w:qFormat/>
    <w:rPr>
      <w:rFonts w:cs="OpenSymbol"/>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pPr>
      <w:tabs>
        <w:tab w:val="clear" w:pos="709"/>
        <w:tab w:val="center" w:pos="4419" w:leader="none"/>
        <w:tab w:val="right" w:pos="8838" w:leader="none"/>
      </w:tabs>
    </w:pPr>
    <w:rPr>
      <w:sz w:val="20"/>
      <w:szCs w:val="20"/>
    </w:rPr>
  </w:style>
  <w:style w:type="paragraph" w:styleId="Corpodotextorecuado">
    <w:name w:val="Body Text Indent"/>
    <w:basedOn w:val="Normal"/>
    <w:pPr>
      <w:ind w:left="0" w:right="0" w:firstLine="1701"/>
      <w:jc w:val="both"/>
    </w:pPr>
    <w:rPr>
      <w:sz w:val="24"/>
    </w:rPr>
  </w:style>
  <w:style w:type="paragraph" w:styleId="Rodap">
    <w:name w:val="Footer"/>
    <w:basedOn w:val="Normal"/>
    <w:pPr>
      <w:suppressLineNumbers/>
      <w:tabs>
        <w:tab w:val="clear" w:pos="709"/>
        <w:tab w:val="center" w:pos="4535" w:leader="none"/>
        <w:tab w:val="right" w:pos="9071" w:leader="none"/>
      </w:tabs>
    </w:pPr>
    <w:rPr/>
  </w:style>
  <w:style w:type="paragraph" w:styleId="Corpodetexto31">
    <w:name w:val="Corpo de texto 31"/>
    <w:basedOn w:val="Normal"/>
    <w:qFormat/>
    <w:pPr>
      <w:jc w:val="both"/>
    </w:pPr>
    <w:rPr>
      <w:sz w:val="28"/>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Contedodoquadro">
    <w:name w:val="Conteúdo do quadro"/>
    <w:basedOn w:val="Normal"/>
    <w:qFormat/>
    <w:pPr/>
    <w:rPr/>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acordos.corin@ufrrj.br" TargetMode="External"/>
</Relationships>
</file>

<file path=docProps/app.xml><?xml version="1.0" encoding="utf-8"?>
<Properties xmlns="http://schemas.openxmlformats.org/officeDocument/2006/extended-properties" xmlns:vt="http://schemas.openxmlformats.org/officeDocument/2006/docPropsVTypes">
  <Template/>
  <TotalTime>76</TotalTime>
  <Application>LibreOffice/6.1.4.2$Windows_X86_64 LibreOffice_project/9d0f32d1f0b509096fd65e0d4bec26ddd1938fd3</Application>
  <Pages>6</Pages>
  <Words>1449</Words>
  <Characters>8245</Characters>
  <CharactersWithSpaces>9678</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2021-10-13T09:59:10Z</dcterms:created>
  <dc:creator/>
  <dc:description/>
  <dc:language>pt-BR</dc:language>
  <cp:lastModifiedBy/>
  <dcterms:modified xsi:type="dcterms:W3CDTF">2025-11-05T10:09:31Z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aO">
    <vt:lpwstr/>
  </property>
</Properties>
</file>