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360"/>
        <w:ind w:left="0" w:right="0" w:hanging="0"/>
        <w:rPr/>
      </w:pPr>
      <w:r>
        <w:rPr>
          <w:rFonts w:cs="Calibri" w:ascii="Calibri" w:hAnsi="Calibri"/>
          <w:lang w:val="en-GB"/>
        </w:rPr>
        <w:t xml:space="preserve">         </w:t>
      </w:r>
    </w:p>
    <w:p>
      <w:pPr>
        <w:pStyle w:val="Corpodotextorecuado"/>
        <w:widowControl/>
        <w:bidi w:val="0"/>
        <w:spacing w:lineRule="auto" w:line="240"/>
        <w:ind w:left="4025" w:right="0" w:hanging="0"/>
        <w:jc w:val="both"/>
        <w:rPr/>
      </w:pPr>
      <w:r>
        <w:rPr>
          <w:rFonts w:eastAsia="Arial" w:cs="Arial" w:ascii="Times New Roman" w:hAnsi="Times New Roman"/>
          <w:b/>
          <w:color w:val="000000"/>
          <w:sz w:val="24"/>
          <w:szCs w:val="24"/>
          <w:lang w:val="en-GB"/>
        </w:rPr>
        <w:t>MEMORANDO DE ENTENDIMENTO ACADÊMICO, CIENTÍFICO E CULTURAL QUE CELEBRAM A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 UNIVERSIDADE FEDERAL RURAL DO RIO DE JANEIRO (UFRRJ), BRASIL E ______________________</w:t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cs="Calibri"/>
          <w:color w:val="000000"/>
          <w:sz w:val="24"/>
          <w:szCs w:val="24"/>
          <w:lang w:val="en-GB"/>
        </w:rPr>
      </w:pPr>
      <w:r>
        <w:rPr>
          <w:rFonts w:cs="Calibri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A </w:t>
      </w: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UNIVERSIDADE FEDERAL RURAL DO RIO DE JANEIRO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, pessoa jurídica de direito público, nos termos do Decreto n.º 63.492, de 29 de outubro de 1968, organizada sob a forma de autarquia de regime especial, com sede na BR 465, KM 47, Seropédica, Estado do Rio de Janeiro, Brasil, subscrita na CGC/MF com o n.º 29.427.465/0001-05, doravante denominda como </w:t>
      </w: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UFRRJ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, representada neste instrumento por seu Reitor, </w:t>
      </w:r>
      <w:r>
        <w:rPr>
          <w:rFonts w:cs="Arial" w:ascii="Times New Roman" w:hAnsi="Times New Roman"/>
          <w:color w:val="000000"/>
          <w:sz w:val="24"/>
          <w:szCs w:val="24"/>
          <w:lang w:val="en-GB"/>
        </w:rPr>
        <w:t xml:space="preserve">Professor Dr.  </w:t>
      </w:r>
      <w:r>
        <w:rPr>
          <w:rFonts w:cs="Arial" w:ascii="Times New Roman" w:hAnsi="Times New Roman"/>
          <w:b/>
          <w:color w:val="000000"/>
          <w:sz w:val="24"/>
          <w:szCs w:val="24"/>
          <w:lang w:val="en-GB"/>
        </w:rPr>
        <w:t>ROBERTO DE SOUZA RODRIGUES</w:t>
      </w:r>
      <w:r>
        <w:rPr>
          <w:rFonts w:cs="Arial" w:ascii="Times New Roman" w:hAnsi="Times New Roman"/>
          <w:color w:val="000000"/>
          <w:sz w:val="24"/>
          <w:szCs w:val="24"/>
          <w:lang w:val="en-GB"/>
        </w:rPr>
        <w:t xml:space="preserve">,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lang w:val="en-GB"/>
        </w:rPr>
        <w:t xml:space="preserve">e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lang w:val="en-GB"/>
        </w:rPr>
        <w:t>A</w:t>
      </w:r>
      <w:r>
        <w:rPr>
          <w:rFonts w:cs="Arial" w:ascii="Times New Roman" w:hAnsi="Times New Roman"/>
          <w:color w:val="000000"/>
          <w:sz w:val="24"/>
          <w:szCs w:val="24"/>
          <w:lang w:val="en-GB"/>
        </w:rPr>
        <w:t xml:space="preserve"> _____________________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, com sede ___(endereço completo)____, doravante 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denominada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 como </w:t>
      </w: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(SIGLA)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,  representada neste ato por seu (CARGO), (NOME REPRESENTANTE) de acordo decidem estabelecer o presente.</w:t>
      </w:r>
    </w:p>
    <w:p>
      <w:pPr>
        <w:pStyle w:val="NoSpacing"/>
        <w:spacing w:lineRule="auto" w:line="360" w:before="0" w:after="0"/>
        <w:ind w:left="0" w:right="0" w:hanging="0"/>
        <w:jc w:val="both"/>
        <w:rPr>
          <w:rFonts w:cs="Calibri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Resolvem celebrar o preente Memorando de 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Entendimento Acadêmico, Científico e Cultural, em conformidade com a legislação vigente em seus respectivos países, e mediante as cláusulas e condições a seguir pactuadas: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 xml:space="preserve">1. </w:t>
      </w: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Objeto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O objeto do presente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MdE</w:t>
      </w:r>
      <w:r>
        <w:rPr>
          <w:rFonts w:cs="Calibri" w:ascii="Times New Roman" w:hAnsi="Times New Roman"/>
          <w:color w:val="000000"/>
          <w:sz w:val="24"/>
          <w:szCs w:val="24"/>
          <w:lang w:val="en-GB"/>
        </w:rPr>
        <w:t xml:space="preserve"> é estabelecer a forma e as condições pelas quais as partes convenentes se propõem a desenvolver um programa de mútua cooperação e intercâmbio acadêmico, científico e cultural, envolvendo áreas de interesse mútuo.</w:t>
      </w:r>
    </w:p>
    <w:p>
      <w:pPr>
        <w:pStyle w:val="NoSpacing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O programa de cooperação referido nesta cláusula envolverá, especificamente: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1. Desenvolvimento de programas e cursos acadêmicos mutuamente benéficos;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2. Intercâmbio de docentes para fins de ensino e pesquisa em programas regulares e de extensão em diferentes áreas acadêmicas e programas de gestão universitária;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3. Intercâmbio de alunos para estudo e pesquisa em programas regulares e de extensão;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4. Assistência recíproca aos docentes e estudantes visitantes;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5. Participação e coordenação de atividades como pesquisas conjuntas, palestras e seminários em programas de curta e longa duração;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color w:val="000000"/>
          <w:sz w:val="24"/>
          <w:szCs w:val="24"/>
          <w:lang w:val="en-GB"/>
        </w:rPr>
        <w:t>6. Intercâmbio de documentação e materiais de pesquisa em áreas de interesse mútuo desde que, no melhor conhecimento das respectivas instituições, não haja proibição legal ou outra contra o intercâmbio.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Calibri"/>
          <w:sz w:val="24"/>
          <w:szCs w:val="24"/>
          <w:lang w:val="en-GB"/>
        </w:rPr>
      </w:pPr>
      <w:r>
        <w:rPr>
          <w:rFonts w:cs="Calibri" w:ascii="Times New Roman" w:hAnsi="Times New Roman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2- Implementação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Os detalhes da implementação de qualquer atividade particular de cooperação resultante deste Memorando de Entendimento serão negociados entre as duas (2) instituições; como tal caso específico pode surgir e será descrito em Acordos Suplementares entre as Universidades. Os Contratos Suplementares estão sempre sujeitos à disponibilidade de fundos para as respectivas partes.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Cláusula A:</w:t>
      </w:r>
      <w:r>
        <w:rPr>
          <w:rFonts w:cs="Calibri" w:ascii="Times New Roman" w:hAnsi="Times New Roman"/>
          <w:b/>
          <w:bCs/>
          <w:i/>
          <w:iCs/>
          <w:color w:val="000000"/>
          <w:sz w:val="24"/>
          <w:szCs w:val="24"/>
          <w:lang w:val="en-GB"/>
        </w:rPr>
        <w:t xml:space="preserve">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Os termos de cooperação e intercâmbio citados nesta cláusula devem conter pelo menos as seguintes informações: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Identificação do objeto a ser executado.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Objetivos a serem alcançados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Etapas operacionais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Plano de aplicação financeira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Cronograma de despesas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1080" w:leader="none"/>
        </w:tabs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cs="Calibr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Uma previsão detalhada dos projetos e programas incluídos; datas de início e término dentro do objeto projetado.</w:t>
      </w:r>
    </w:p>
    <w:p>
      <w:pPr>
        <w:pStyle w:val="Normal"/>
        <w:spacing w:lineRule="auto" w:line="360" w:before="0" w:after="0"/>
        <w:ind w:left="1260" w:right="0" w:hanging="0"/>
        <w:jc w:val="both"/>
        <w:rPr>
          <w:rFonts w:ascii="Times New Roman" w:hAnsi="Times New Roman" w:cs="Calibri"/>
          <w:sz w:val="24"/>
          <w:szCs w:val="24"/>
          <w:lang w:val="en-GB"/>
        </w:rPr>
      </w:pPr>
      <w:r>
        <w:rPr>
          <w:rFonts w:cs="Calibri" w:ascii="Times New Roman" w:hAnsi="Times New Roman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6855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3- D</w:t>
      </w: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a Vigência e Rescição</w:t>
      </w:r>
    </w:p>
    <w:p>
      <w:pPr>
        <w:pStyle w:val="Normal"/>
        <w:tabs>
          <w:tab w:val="clear" w:pos="709"/>
          <w:tab w:val="left" w:pos="6855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 xml:space="preserve">O presente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MdE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 xml:space="preserve"> vigorará pelo prazo de 05 (cinco) anos, </w:t>
      </w:r>
      <w:r>
        <w:rPr>
          <w:rFonts w:cs="Calibri" w:ascii="Times New Roman" w:hAnsi="Times New Roman"/>
          <w:b w:val="false"/>
          <w:bCs w:val="false"/>
          <w:i/>
          <w:iCs/>
          <w:color w:val="000000"/>
          <w:sz w:val="24"/>
          <w:szCs w:val="24"/>
          <w:lang w:val="en-GB"/>
        </w:rPr>
        <w:t>ab initio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 xml:space="preserve"> da primeira assinatura, podendo ser rescindido, por qualquer das partes, mediante notificação, por escrito, com antecedência mínima de 60 (sessenta) dias.</w:t>
      </w:r>
    </w:p>
    <w:p>
      <w:pPr>
        <w:pStyle w:val="Normal"/>
        <w:tabs>
          <w:tab w:val="clear" w:pos="709"/>
          <w:tab w:val="left" w:pos="6855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O presente Memorando pode ser renovado por até 2 (dois) períodos de igual duração por meio de uma notificação por escrito de uma das partes e uma aceitação escrita pela outra.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Calibri"/>
          <w:sz w:val="24"/>
          <w:szCs w:val="24"/>
          <w:lang w:val="en-GB"/>
        </w:rPr>
      </w:pPr>
      <w:r>
        <w:rPr>
          <w:rFonts w:cs="Calibri" w:ascii="Times New Roman" w:hAnsi="Times New Roman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Calibri"/>
          <w:b/>
          <w:b/>
          <w:bCs/>
          <w:color w:val="000000"/>
          <w:sz w:val="24"/>
          <w:szCs w:val="24"/>
          <w:lang w:val="en-GB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  <w:lang w:val="en-GB"/>
        </w:rPr>
        <w:t>4- Alterações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 xml:space="preserve">Alterações a este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 xml:space="preserve">MdE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podem ser efetuadas por qualquer uma das partes desde que seja respeitado um prazo de notificação de pelo menos 30 dias antes da data efetivada, por escrito. Caso seja solicitada a rescisão – as atividades então em andamento, por meio de projetos previamente aprovados em Contratos Complementares, não serão prejudicadas, salvo acordo em contrário por escrito entre as partes.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Calibri"/>
          <w:sz w:val="24"/>
          <w:szCs w:val="24"/>
          <w:lang w:val="en-GB"/>
        </w:rPr>
      </w:pPr>
      <w:r>
        <w:rPr>
          <w:rFonts w:cs="Calibri" w:ascii="Times New Roman" w:hAnsi="Times New Roman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color w:val="000000"/>
          <w:sz w:val="24"/>
          <w:szCs w:val="24"/>
          <w:lang w:val="en-GB"/>
        </w:rPr>
        <w:t>5- Publicação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A publicação de uma versão resumida deste instrumento se dará no Brasil por meio de extrato resumido deste acordo na página da UFRRJ.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Calibri"/>
          <w:sz w:val="24"/>
          <w:szCs w:val="24"/>
          <w:lang w:val="en-GB"/>
        </w:rPr>
      </w:pPr>
      <w:r>
        <w:rPr>
          <w:rFonts w:cs="Calibri" w:ascii="Times New Roman" w:hAnsi="Times New Roman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color w:val="000000"/>
          <w:sz w:val="24"/>
          <w:szCs w:val="24"/>
          <w:lang w:val="en-GB"/>
        </w:rPr>
        <w:t xml:space="preserve">6- </w:t>
      </w:r>
      <w:r>
        <w:rPr>
          <w:rFonts w:cs="Calibri" w:ascii="Times New Roman" w:hAnsi="Times New Roman"/>
          <w:b/>
          <w:color w:val="000000"/>
          <w:sz w:val="24"/>
          <w:szCs w:val="24"/>
          <w:lang w:val="en-GB"/>
        </w:rPr>
        <w:t>Foro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Os convenentes de comum acordo irão procurar dirimir quaisquer dúvidas ou controvérsias decorrentes do presente termo através de negociação consensual. E na impossibilidade deste se buscará através da via arbitral. A UFRRJ escolherá um arbitro e a outra parte escolherá um segundo, o terceiro deverá ser escolhido de comum acordo.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t>Este acordo está sujeito aos regulamentos internos de ambas as instituições e às leis de ambos os países.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lang w:val="en-GB"/>
        </w:rPr>
        <w:br/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  <w:highlight w:val="yellow"/>
          <w:lang w:val="en-GB"/>
        </w:rPr>
        <w:t>E assim, de acordo, as partes aqui declaradas assinam o presente instrumento em português e em espanhol/inglês, sendo as vias de igual teor, de forma de assinatura eletrônica certificada.</w:t>
      </w:r>
    </w:p>
    <w:tbl>
      <w:tblPr>
        <w:tblW w:w="9165" w:type="dxa"/>
        <w:jc w:val="left"/>
        <w:tblInd w:w="39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559"/>
        <w:gridCol w:w="4605"/>
      </w:tblGrid>
      <w:tr>
        <w:trPr/>
        <w:tc>
          <w:tcPr>
            <w:tcW w:w="45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>
                <w:rFonts w:cs="Arial"/>
                <w:b w:val="false"/>
                <w:b w:val="false"/>
                <w:bCs w:val="false"/>
                <w:smallCaps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smallCaps/>
                <w:sz w:val="24"/>
                <w:szCs w:val="24"/>
              </w:rPr>
              <w:t>Local e data: ….................................…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>
                <w:rFonts w:cs="Arial"/>
                <w:b w:val="false"/>
                <w:b w:val="false"/>
                <w:bCs w:val="false"/>
                <w:smallCaps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smallCaps/>
                <w:sz w:val="24"/>
                <w:szCs w:val="24"/>
              </w:rPr>
              <w:t>Local e data: ….................................…</w:t>
            </w:r>
          </w:p>
        </w:tc>
      </w:tr>
      <w:tr>
        <w:trPr/>
        <w:tc>
          <w:tcPr>
            <w:tcW w:w="45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___________________________________</w:t>
            </w:r>
          </w:p>
        </w:tc>
      </w:tr>
      <w:tr>
        <w:trPr/>
        <w:tc>
          <w:tcPr>
            <w:tcW w:w="45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ROBERTO DE SOUZA RODRIGUES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XXXXXXXXXXXXXXX</w:t>
            </w:r>
          </w:p>
        </w:tc>
      </w:tr>
      <w:tr>
        <w:trPr/>
        <w:tc>
          <w:tcPr>
            <w:tcW w:w="45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REITOR DA UFRRJ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XXXXXXXXXXXXXX</w:t>
            </w:r>
          </w:p>
        </w:tc>
      </w:tr>
    </w:tbl>
    <w:p>
      <w:pPr>
        <w:pStyle w:val="Normal"/>
        <w:spacing w:lineRule="auto" w:line="360"/>
        <w:ind w:left="0" w:right="0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134" w:header="850" w:top="1842" w:footer="1134" w:bottom="1282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rFonts w:ascii="Times New Roman" w:hAnsi="Times New Roman" w:cs="Arial"/>
        <w:i/>
        <w:i/>
        <w:iCs/>
        <w:lang w:val="pt-BR" w:eastAsia="pt-BR"/>
      </w:rPr>
    </w:pPr>
    <w:r>
      <w:rPr>
        <w:sz w:val="16"/>
        <w:szCs w:val="16"/>
      </w:rPr>
    </w:r>
  </w:p>
  <w:p>
    <w:pPr>
      <w:pStyle w:val="Normal"/>
      <w:jc w:val="left"/>
      <w:rPr>
        <w:sz w:val="16"/>
        <w:szCs w:val="16"/>
      </w:rPr>
    </w:pPr>
    <w:r>
      <w:rPr>
        <w:rFonts w:cs="Arial"/>
        <w:i/>
        <w:iCs/>
        <w:sz w:val="16"/>
        <w:szCs w:val="16"/>
        <w:lang w:val="pt-BR" w:eastAsia="pt-BR"/>
      </w:rPr>
      <w:t>Universidade Federal Rural do Rio de Janeiro – Coordenadoria de Relações Internacionais e Interinstitucionais – CORIN</w:t>
    </w:r>
  </w:p>
  <w:p>
    <w:pPr>
      <w:pStyle w:val="Normal"/>
      <w:jc w:val="left"/>
      <w:rPr>
        <w:sz w:val="16"/>
        <w:szCs w:val="16"/>
      </w:rPr>
    </w:pPr>
    <w:r>
      <w:rPr>
        <w:rFonts w:cs="Arial"/>
        <w:i/>
        <w:iCs/>
        <w:sz w:val="16"/>
        <w:szCs w:val="16"/>
        <w:lang w:val="pt-BR" w:eastAsia="pt-BR"/>
      </w:rPr>
      <w:t>Processo administrativo nº 23083.xxxxx/20xx-xx</w:t>
    </w:r>
  </w:p>
  <w:p>
    <w:pPr>
      <w:pStyle w:val="Normal"/>
      <w:jc w:val="left"/>
      <w:rPr>
        <w:sz w:val="16"/>
        <w:szCs w:val="16"/>
      </w:rPr>
    </w:pPr>
    <w:r>
      <w:rPr>
        <w:rFonts w:cs="Arial"/>
        <w:i/>
        <w:iCs/>
        <w:sz w:val="16"/>
        <w:szCs w:val="16"/>
        <w:lang w:val="pt-BR" w:eastAsia="pt-BR"/>
      </w:rPr>
      <w:t>Rod.</w:t>
    </w:r>
    <w:r>
      <w:rPr>
        <w:rFonts w:cs="Arial"/>
        <w:i/>
        <w:iCs/>
        <w:sz w:val="16"/>
        <w:szCs w:val="16"/>
      </w:rPr>
      <w:t xml:space="preserve"> BR-465, Km 07, Seropédica, Rio de Janeiro, Brasil – CEP: 23.89</w:t>
    </w:r>
    <w:r>
      <w:rPr>
        <w:rFonts w:cs="Arial"/>
        <w:i/>
        <w:iCs/>
        <w:sz w:val="16"/>
        <w:szCs w:val="16"/>
      </w:rPr>
      <w:t>7</w:t>
    </w:r>
    <w:r>
      <w:rPr>
        <w:rFonts w:cs="Arial"/>
        <w:i/>
        <w:iCs/>
        <w:sz w:val="16"/>
        <w:szCs w:val="16"/>
      </w:rPr>
      <w:t>-000</w:t>
    </w:r>
  </w:p>
  <w:p>
    <w:pPr>
      <w:pStyle w:val="Rodap"/>
      <w:jc w:val="left"/>
      <w:rPr/>
    </w:pPr>
    <w:r>
      <w:rPr>
        <w:rFonts w:cs="Arial"/>
        <w:i/>
        <w:iCs/>
        <w:sz w:val="16"/>
        <w:szCs w:val="16"/>
        <w:lang w:val="pt-BR" w:eastAsia="pt-BR"/>
      </w:rPr>
      <w:t xml:space="preserve">E-mail: </w:t>
    </w:r>
    <w:hyperlink r:id="rId1">
      <w:r>
        <w:rPr>
          <w:rStyle w:val="LinkdaInternet"/>
          <w:rFonts w:cs="Arial"/>
          <w:i/>
          <w:iCs/>
          <w:sz w:val="16"/>
          <w:szCs w:val="16"/>
          <w:lang w:val="pt-BR" w:eastAsia="pt-BR"/>
        </w:rPr>
        <w:t>acordos.corin@ufrrj.br</w:t>
      </w:r>
    </w:hyperlink>
  </w:p>
  <w:p>
    <w:pPr>
      <w:pStyle w:val="Rodap"/>
      <w:jc w:val="right"/>
      <w:rPr/>
    </w:pPr>
    <w:r>
      <w:rPr>
        <w:rFonts w:cs="Arial"/>
        <w:i/>
        <w:iCs/>
        <w:sz w:val="16"/>
        <w:szCs w:val="16"/>
        <w:lang w:val="pt-BR" w:eastAsia="pt-BR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5158740</wp:posOffset>
              </wp:positionH>
              <wp:positionV relativeFrom="paragraph">
                <wp:posOffset>75565</wp:posOffset>
              </wp:positionV>
              <wp:extent cx="768350" cy="29273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880" cy="29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overflowPunct w:val="true"/>
                            <w:rPr/>
                          </w:pPr>
                          <w:r>
                            <w:rPr>
                              <w:color w:val="auto"/>
                            </w:rPr>
                            <w:t>LOGO PARCEIRO</w:t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stroked="f" style="position:absolute;margin-left:406.2pt;margin-top:5.95pt;width:60.4pt;height:2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overflowPunct w:val="true"/>
                      <w:rPr/>
                    </w:pPr>
                    <w:r>
                      <w:rPr>
                        <w:color w:val="auto"/>
                      </w:rPr>
                      <w:t>LOGO PARCEIRO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9525" simplePos="0" locked="0" layoutInCell="1" allowOverlap="1" relativeHeight="5">
          <wp:simplePos x="0" y="0"/>
          <wp:positionH relativeFrom="column">
            <wp:posOffset>155575</wp:posOffset>
          </wp:positionH>
          <wp:positionV relativeFrom="paragraph">
            <wp:posOffset>43180</wp:posOffset>
          </wp:positionV>
          <wp:extent cx="822325" cy="867410"/>
          <wp:effectExtent l="0" t="0" r="0" b="0"/>
          <wp:wrapSquare wrapText="largest"/>
          <wp:docPr id="3" name="Imagem 2" descr="logomarca_ufrrj_cor02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marca_ufrrj_cor02[1]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</w:r>
  </w:p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>MINISTÉRIO DA EDUCAÇÃO</w:t>
    </w:r>
  </w:p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>UNIVERSIDADE FEDERAL RURAL DO RIO DE JANEIRO</w:t>
    </w:r>
  </w:p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 xml:space="preserve">COORDENADORIA DE RELAÇÕES INTERNACIONAIS </w:t>
    </w:r>
  </w:p>
  <w:p>
    <w:pPr>
      <w:pStyle w:val="Cabealho"/>
      <w:tabs>
        <w:tab w:val="clear" w:pos="4419"/>
        <w:tab w:val="clear" w:pos="8838"/>
      </w:tabs>
      <w:jc w:val="center"/>
      <w:rPr>
        <w:b/>
        <w:b/>
        <w:bCs/>
        <w:sz w:val="21"/>
        <w:szCs w:val="21"/>
      </w:rPr>
    </w:pPr>
    <w:r>
      <w:rPr>
        <w:b/>
        <w:bCs/>
        <w:sz w:val="21"/>
        <w:szCs w:val="21"/>
      </w:rPr>
      <w:t xml:space="preserve">E INTERINSTITUCIONAIS </w:t>
    </w:r>
  </w:p>
  <w:p>
    <w:pPr>
      <w:pStyle w:val="Cabealho"/>
      <w:tabs>
        <w:tab w:val="clear" w:pos="8838"/>
        <w:tab w:val="center" w:pos="4419" w:leader="none"/>
        <w:tab w:val="left" w:pos="65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0" w:firstLine="4253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z w:val="24"/>
      <w:szCs w:val="24"/>
      <w:lang w:val="en-GB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CabealhoChar">
    <w:name w:val="Cabeçalho Char"/>
    <w:qFormat/>
    <w:rPr>
      <w:lang w:val="pt-BR" w:eastAsia="pt-BR"/>
    </w:rPr>
  </w:style>
  <w:style w:type="character" w:styleId="RodapChar">
    <w:name w:val="Rodapé Char"/>
    <w:qFormat/>
    <w:rPr>
      <w:lang w:val="pt-BR" w:eastAsia="pt-BR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Symbol"/>
      <w:b w:val="false"/>
      <w:sz w:val="24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  <w:b w:val="false"/>
      <w:sz w:val="24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  <w:b w:val="false"/>
      <w:sz w:val="24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jc w:val="both"/>
    </w:pPr>
    <w:rPr>
      <w:sz w:val="28"/>
    </w:rPr>
  </w:style>
  <w:style w:type="paragraph" w:styleId="Corpodotextorecuado">
    <w:name w:val="Body Text Indent"/>
    <w:basedOn w:val="Normal"/>
    <w:pPr>
      <w:ind w:left="3969" w:right="0" w:hanging="0"/>
    </w:pPr>
    <w:rPr>
      <w:b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ColorfulShadingAccent1">
    <w:name w:val="Colorful Shading Accent 1"/>
    <w:qFormat/>
    <w:pPr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Spacing">
    <w:name w:val="No Spacing"/>
    <w:basedOn w:val="Normal"/>
    <w:qFormat/>
    <w:pPr>
      <w:spacing w:before="120" w:after="120"/>
      <w:jc w:val="both"/>
    </w:pPr>
    <w:rPr>
      <w:rFonts w:ascii="Arial" w:hAnsi="Arial" w:eastAsia="Arial" w:cs="Arial"/>
      <w:sz w:val="22"/>
      <w:szCs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cordos.corin@ufrrj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LOGOATUAL</Template>
  <TotalTime>272</TotalTime>
  <Application>LibreOffice/6.1.4.2$Windows_X86_64 LibreOffice_project/9d0f32d1f0b509096fd65e0d4bec26ddd1938fd3</Application>
  <Pages>3</Pages>
  <Words>739</Words>
  <Characters>4379</Characters>
  <CharactersWithSpaces>5081</CharactersWithSpaces>
  <Paragraphs>53</Paragraphs>
  <Company>UFPR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2018-05-09T11:40:00Z</dcterms:created>
  <dc:creator>***</dc:creator>
  <dc:description/>
  <dc:language>pt-BR</dc:language>
  <cp:lastModifiedBy/>
  <cp:lastPrinted>2010-10-26T13:00:00Z</cp:lastPrinted>
  <dcterms:modified xsi:type="dcterms:W3CDTF">2025-11-05T12:06:16Z</dcterms:modified>
  <cp:revision>21</cp:revision>
  <dc:subject/>
  <dc:title>TERM OF COOPERATION THAT HERE IS SOLEMNIZED AMONG THE FEDERAL UNIVERSITY OF PARANÁ – UFPR – AND 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