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76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tbl>
      <w:tblPr>
        <w:tblW w:w="1015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03"/>
        <w:gridCol w:w="7848"/>
      </w:tblGrid>
      <w:tr>
        <w:trPr>
          <w:trHeight w:val="416" w:hRule="atLeast"/>
        </w:trPr>
        <w:tc>
          <w:tcPr>
            <w:tcW w:w="10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FE2F3" w:val="clear"/>
            <w:vAlign w:val="center"/>
          </w:tcPr>
          <w:p>
            <w:pPr>
              <w:pStyle w:val="Normal"/>
              <w:widowControl w:val="false"/>
              <w:spacing w:lineRule="exact" w:line="240"/>
              <w:jc w:val="center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PLANO DE ENSINO</w:t>
            </w:r>
          </w:p>
        </w:tc>
      </w:tr>
      <w:tr>
        <w:trPr>
          <w:trHeight w:val="630" w:hRule="atLeast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keepNext w:val="true"/>
              <w:widowControl w:val="false"/>
              <w:spacing w:lineRule="exact" w:line="240" w:before="60" w:after="0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Instituição</w:t>
            </w:r>
          </w:p>
        </w:tc>
        <w:tc>
          <w:tcPr>
            <w:tcW w:w="7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rPr/>
            </w:pPr>
            <w:r>
              <w:rPr>
                <w:rFonts w:eastAsia="Arial" w:cs="Arial" w:ascii="Arial" w:hAnsi="Arial"/>
                <w:color w:val="000000"/>
                <w:sz w:val="24"/>
              </w:rPr>
              <w:t>Universidade Federal Rural do Rio de Janeiro</w:t>
            </w:r>
          </w:p>
        </w:tc>
      </w:tr>
      <w:tr>
        <w:trPr>
          <w:trHeight w:val="660" w:hRule="atLeast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Curso / Evento</w:t>
            </w:r>
          </w:p>
        </w:tc>
        <w:tc>
          <w:tcPr>
            <w:tcW w:w="7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360" w:before="183" w:after="0"/>
              <w:rPr/>
            </w:pPr>
            <w:r>
              <w:rPr>
                <w:rFonts w:eastAsia="Arial" w:cs="Arial" w:ascii="Arial" w:hAnsi="Arial"/>
                <w:color w:val="000000"/>
                <w:sz w:val="24"/>
              </w:rPr>
              <w:t>Acidente de trabalho e Combate a incêndios: noções básicas, percepção de riscos e métodos de prevenção</w:t>
            </w:r>
          </w:p>
        </w:tc>
      </w:tr>
      <w:tr>
        <w:trPr>
          <w:trHeight w:val="550" w:hRule="atLeast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Carga horária total</w:t>
            </w:r>
          </w:p>
        </w:tc>
        <w:tc>
          <w:tcPr>
            <w:tcW w:w="7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rPr/>
            </w:pPr>
            <w:r>
              <w:rPr>
                <w:rFonts w:eastAsia="Arial" w:cs="Arial" w:ascii="Arial" w:hAnsi="Arial"/>
                <w:color w:val="000000"/>
                <w:sz w:val="24"/>
              </w:rPr>
              <w:t>20 horas</w:t>
            </w:r>
          </w:p>
        </w:tc>
      </w:tr>
      <w:tr>
        <w:trPr>
          <w:trHeight w:val="710" w:hRule="atLeast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Público-alvo</w:t>
            </w:r>
          </w:p>
        </w:tc>
        <w:tc>
          <w:tcPr>
            <w:tcW w:w="7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rPr/>
            </w:pPr>
            <w:r>
              <w:rPr>
                <w:rFonts w:eastAsia="Arial" w:cs="Arial" w:ascii="Arial" w:hAnsi="Arial"/>
                <w:color w:val="000000"/>
                <w:sz w:val="24"/>
              </w:rPr>
              <w:t>Todos os trabalhadores da UFRRJ</w:t>
            </w:r>
          </w:p>
        </w:tc>
      </w:tr>
      <w:tr>
        <w:trPr>
          <w:trHeight w:val="684" w:hRule="atLeast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Número mínimo de participantes</w:t>
            </w:r>
          </w:p>
        </w:tc>
        <w:tc>
          <w:tcPr>
            <w:tcW w:w="7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rPr/>
            </w:pPr>
            <w:r>
              <w:rPr>
                <w:rFonts w:eastAsia="Arial" w:cs="Arial" w:ascii="Arial" w:hAnsi="Arial"/>
                <w:color w:val="000000"/>
                <w:sz w:val="24"/>
              </w:rPr>
              <w:t>20 participantes</w:t>
            </w:r>
          </w:p>
        </w:tc>
      </w:tr>
      <w:tr>
        <w:trPr>
          <w:trHeight w:val="627" w:hRule="atLeast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Coordenador</w:t>
            </w:r>
          </w:p>
        </w:tc>
        <w:tc>
          <w:tcPr>
            <w:tcW w:w="7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360"/>
              <w:rPr/>
            </w:pPr>
            <w:r>
              <w:rPr>
                <w:rFonts w:eastAsia="Arial" w:cs="Arial" w:ascii="Arial" w:hAnsi="Arial"/>
                <w:color w:val="000000"/>
                <w:sz w:val="24"/>
              </w:rPr>
              <w:t>Rafael de Oliveira Silva (SIAPE 2424634)</w:t>
            </w:r>
          </w:p>
        </w:tc>
      </w:tr>
      <w:tr>
        <w:trPr>
          <w:trHeight w:val="627" w:hRule="atLeast"/>
        </w:trPr>
        <w:tc>
          <w:tcPr>
            <w:tcW w:w="230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Instrutor (es)</w:t>
            </w:r>
          </w:p>
        </w:tc>
        <w:tc>
          <w:tcPr>
            <w:tcW w:w="784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360"/>
              <w:rPr/>
            </w:pPr>
            <w:r>
              <w:rPr>
                <w:rFonts w:eastAsia="Arial" w:cs="Arial" w:ascii="Arial" w:hAnsi="Arial"/>
                <w:color w:val="000000"/>
                <w:sz w:val="24"/>
              </w:rPr>
              <w:t>Claudio da Silva Santos (SIAPE 2263735), Fabiano de Mattos Gama (SIAPE 3076431), Gabriel Freitas de Andrade (SIAPE 3061040), Jonas Teixeira Geraldo (SIAPE 1982666), Rafael de Oliveira Silva (SIAPE 2424634)</w:t>
            </w:r>
          </w:p>
        </w:tc>
      </w:tr>
    </w:tbl>
    <w:p>
      <w:pPr>
        <w:pStyle w:val="Normal"/>
        <w:spacing w:lineRule="exact" w:line="276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tbl>
      <w:tblPr>
        <w:tblW w:w="1015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153"/>
      </w:tblGrid>
      <w:tr>
        <w:trPr>
          <w:trHeight w:val="240" w:hRule="atLeast"/>
        </w:trPr>
        <w:tc>
          <w:tcPr>
            <w:tcW w:w="10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FE2F3" w:val="clear"/>
          </w:tcPr>
          <w:p>
            <w:pPr>
              <w:pStyle w:val="Normal"/>
              <w:widowControl w:val="false"/>
              <w:spacing w:lineRule="exact" w:line="240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Ementa</w:t>
            </w:r>
          </w:p>
        </w:tc>
      </w:tr>
    </w:tbl>
    <w:p>
      <w:pPr>
        <w:pStyle w:val="Normal"/>
        <w:spacing w:lineRule="exact" w:line="360"/>
        <w:ind w:left="-794" w:hanging="0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p>
      <w:pPr>
        <w:pStyle w:val="Normal"/>
        <w:spacing w:lineRule="exact" w:line="360" w:before="90" w:after="0"/>
        <w:ind w:left="-624" w:right="-454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color w:val="000000"/>
          <w:sz w:val="24"/>
        </w:rPr>
        <w:t xml:space="preserve">O curso será dividido em três módulos, a saber: 1) ) Prevenção de Acidentes; 2) Prevenção e combate a princípio de incêndio; 3) Noções básicas de primeiros socorros com foco em incêndio </w:t>
      </w:r>
    </w:p>
    <w:p>
      <w:pPr>
        <w:pStyle w:val="Normal"/>
        <w:spacing w:lineRule="exact" w:line="360" w:before="90" w:after="0"/>
        <w:ind w:left="-624" w:right="-454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color w:val="000000"/>
          <w:sz w:val="24"/>
        </w:rPr>
        <w:t>O objetivo do curso é proporcionar conhecimento ao aluno sobre a segurança no</w:t>
      </w:r>
      <w:r>
        <w:rPr>
          <w:rFonts w:eastAsia="Arial" w:cs="Arial" w:ascii="Arial" w:hAnsi="Arial"/>
          <w:color w:val="000000"/>
          <w:spacing w:val="1"/>
          <w:sz w:val="24"/>
        </w:rPr>
        <w:t xml:space="preserve"> </w:t>
      </w:r>
      <w:r>
        <w:rPr>
          <w:rFonts w:eastAsia="Arial" w:cs="Arial" w:ascii="Arial" w:hAnsi="Arial"/>
          <w:color w:val="000000"/>
          <w:sz w:val="24"/>
        </w:rPr>
        <w:t>trabalho, de forma a proteger sua saúde física, através da</w:t>
      </w:r>
      <w:r>
        <w:rPr>
          <w:rFonts w:eastAsia="Arial" w:cs="Arial" w:ascii="Arial" w:hAnsi="Arial"/>
          <w:color w:val="000000"/>
          <w:spacing w:val="1"/>
          <w:sz w:val="24"/>
        </w:rPr>
        <w:t xml:space="preserve"> </w:t>
      </w:r>
      <w:r>
        <w:rPr>
          <w:rFonts w:eastAsia="Arial" w:cs="Arial" w:ascii="Arial" w:hAnsi="Arial"/>
          <w:color w:val="000000"/>
          <w:sz w:val="24"/>
        </w:rPr>
        <w:t>conceituação, compreensão e aplicação dos ensinamentos sobre temas como acidentes</w:t>
      </w:r>
      <w:r>
        <w:rPr>
          <w:rFonts w:eastAsia="Arial" w:cs="Arial" w:ascii="Arial" w:hAnsi="Arial"/>
          <w:color w:val="000000"/>
          <w:spacing w:val="1"/>
          <w:sz w:val="24"/>
        </w:rPr>
        <w:t xml:space="preserve"> </w:t>
      </w:r>
      <w:r>
        <w:rPr>
          <w:rFonts w:eastAsia="Arial" w:cs="Arial" w:ascii="Arial" w:hAnsi="Arial"/>
          <w:color w:val="000000"/>
          <w:sz w:val="24"/>
        </w:rPr>
        <w:t>do trabalho, ergonomia, noções básicas de prevenção e combate a princípios de incêndio,</w:t>
      </w:r>
      <w:r>
        <w:rPr>
          <w:rFonts w:eastAsia="Arial" w:cs="Arial" w:ascii="Arial" w:hAnsi="Arial"/>
          <w:color w:val="000000"/>
          <w:spacing w:val="1"/>
          <w:sz w:val="24"/>
        </w:rPr>
        <w:t xml:space="preserve"> </w:t>
      </w:r>
      <w:r>
        <w:rPr>
          <w:rFonts w:eastAsia="Arial" w:cs="Arial" w:ascii="Arial" w:hAnsi="Arial"/>
          <w:color w:val="000000"/>
          <w:sz w:val="24"/>
        </w:rPr>
        <w:t>noções básicas de primeiros socorros com foco em incêndio, utilização e manejo de equipamentos e técnicas de princípio de incêndio, além de medidas específicas de</w:t>
      </w:r>
      <w:r>
        <w:rPr>
          <w:rFonts w:eastAsia="Arial" w:cs="Arial" w:ascii="Arial" w:hAnsi="Arial"/>
          <w:color w:val="000000"/>
          <w:spacing w:val="1"/>
          <w:sz w:val="24"/>
        </w:rPr>
        <w:t xml:space="preserve"> </w:t>
      </w:r>
      <w:r>
        <w:rPr>
          <w:rFonts w:eastAsia="Arial" w:cs="Arial" w:ascii="Arial" w:hAnsi="Arial"/>
          <w:color w:val="000000"/>
          <w:sz w:val="24"/>
        </w:rPr>
        <w:t>segurança e prevenção. O curso terá carga horária</w:t>
      </w:r>
      <w:r>
        <w:rPr>
          <w:rFonts w:eastAsia="Arial" w:cs="Arial" w:ascii="Arial" w:hAnsi="Arial"/>
          <w:color w:val="000000"/>
          <w:spacing w:val="-57"/>
          <w:sz w:val="24"/>
        </w:rPr>
        <w:t xml:space="preserve">  </w:t>
      </w:r>
      <w:r>
        <w:rPr>
          <w:rFonts w:eastAsia="Arial" w:cs="Arial" w:ascii="Arial" w:hAnsi="Arial"/>
          <w:color w:val="000000"/>
          <w:sz w:val="24"/>
        </w:rPr>
        <w:t>de 20 horas e será ofertado na modalidade presencial.</w:t>
      </w:r>
      <w:r>
        <w:rPr>
          <w:rFonts w:eastAsia="Arial" w:cs="Arial" w:ascii="Arial" w:hAnsi="Arial"/>
          <w:color w:val="000000"/>
          <w:spacing w:val="15"/>
          <w:sz w:val="24"/>
        </w:rPr>
        <w:t xml:space="preserve"> </w:t>
      </w:r>
      <w:r>
        <w:rPr>
          <w:rFonts w:eastAsia="Arial" w:cs="Arial" w:ascii="Arial" w:hAnsi="Arial"/>
          <w:color w:val="000000"/>
          <w:sz w:val="24"/>
        </w:rPr>
        <w:t>Espera-se</w:t>
      </w:r>
      <w:r>
        <w:rPr>
          <w:rFonts w:eastAsia="Arial" w:cs="Arial" w:ascii="Arial" w:hAnsi="Arial"/>
          <w:color w:val="000000"/>
          <w:spacing w:val="15"/>
          <w:sz w:val="24"/>
        </w:rPr>
        <w:t xml:space="preserve"> </w:t>
      </w:r>
      <w:r>
        <w:rPr>
          <w:rFonts w:eastAsia="Arial" w:cs="Arial" w:ascii="Arial" w:hAnsi="Arial"/>
          <w:color w:val="000000"/>
          <w:sz w:val="24"/>
        </w:rPr>
        <w:t>que</w:t>
      </w:r>
      <w:r>
        <w:rPr>
          <w:rFonts w:eastAsia="Arial" w:cs="Arial" w:ascii="Arial" w:hAnsi="Arial"/>
          <w:color w:val="000000"/>
          <w:spacing w:val="16"/>
          <w:sz w:val="24"/>
        </w:rPr>
        <w:t xml:space="preserve"> </w:t>
      </w:r>
      <w:r>
        <w:rPr>
          <w:rFonts w:eastAsia="Arial" w:cs="Arial" w:ascii="Arial" w:hAnsi="Arial"/>
          <w:color w:val="000000"/>
          <w:sz w:val="24"/>
        </w:rPr>
        <w:t>o</w:t>
      </w:r>
      <w:r>
        <w:rPr>
          <w:rFonts w:eastAsia="Arial" w:cs="Arial" w:ascii="Arial" w:hAnsi="Arial"/>
          <w:color w:val="000000"/>
          <w:spacing w:val="16"/>
          <w:sz w:val="24"/>
        </w:rPr>
        <w:t xml:space="preserve"> </w:t>
      </w:r>
      <w:r>
        <w:rPr>
          <w:rFonts w:eastAsia="Arial" w:cs="Arial" w:ascii="Arial" w:hAnsi="Arial"/>
          <w:color w:val="000000"/>
          <w:sz w:val="24"/>
        </w:rPr>
        <w:t>aluno</w:t>
      </w:r>
      <w:r>
        <w:rPr>
          <w:rFonts w:eastAsia="Arial" w:cs="Arial" w:ascii="Arial" w:hAnsi="Arial"/>
          <w:color w:val="000000"/>
          <w:spacing w:val="16"/>
          <w:sz w:val="24"/>
        </w:rPr>
        <w:t xml:space="preserve"> </w:t>
      </w:r>
      <w:r>
        <w:rPr>
          <w:rFonts w:eastAsia="Arial" w:cs="Arial" w:ascii="Arial" w:hAnsi="Arial"/>
          <w:color w:val="000000"/>
          <w:sz w:val="24"/>
        </w:rPr>
        <w:t>concluinte</w:t>
      </w:r>
      <w:r>
        <w:rPr>
          <w:rFonts w:eastAsia="Arial" w:cs="Arial" w:ascii="Arial" w:hAnsi="Arial"/>
          <w:color w:val="000000"/>
          <w:spacing w:val="16"/>
          <w:sz w:val="24"/>
        </w:rPr>
        <w:t xml:space="preserve"> </w:t>
      </w:r>
      <w:r>
        <w:rPr>
          <w:rFonts w:eastAsia="Arial" w:cs="Arial" w:ascii="Arial" w:hAnsi="Arial"/>
          <w:color w:val="000000"/>
          <w:sz w:val="24"/>
        </w:rPr>
        <w:t>deste</w:t>
      </w:r>
      <w:r>
        <w:rPr>
          <w:rFonts w:eastAsia="Arial" w:cs="Arial" w:ascii="Arial" w:hAnsi="Arial"/>
          <w:color w:val="000000"/>
          <w:spacing w:val="17"/>
          <w:sz w:val="24"/>
        </w:rPr>
        <w:t xml:space="preserve"> </w:t>
      </w:r>
      <w:r>
        <w:rPr>
          <w:rFonts w:eastAsia="Arial" w:cs="Arial" w:ascii="Arial" w:hAnsi="Arial"/>
          <w:color w:val="000000"/>
          <w:sz w:val="24"/>
        </w:rPr>
        <w:t>curso</w:t>
      </w:r>
      <w:r>
        <w:rPr>
          <w:rFonts w:eastAsia="Arial" w:cs="Arial" w:ascii="Arial" w:hAnsi="Arial"/>
          <w:color w:val="000000"/>
          <w:spacing w:val="16"/>
          <w:sz w:val="24"/>
        </w:rPr>
        <w:t xml:space="preserve"> </w:t>
      </w:r>
      <w:r>
        <w:rPr>
          <w:rFonts w:eastAsia="Arial" w:cs="Arial" w:ascii="Arial" w:hAnsi="Arial"/>
          <w:color w:val="000000"/>
          <w:sz w:val="24"/>
        </w:rPr>
        <w:t>seja</w:t>
      </w:r>
      <w:r>
        <w:rPr>
          <w:rFonts w:eastAsia="Arial" w:cs="Arial" w:ascii="Arial" w:hAnsi="Arial"/>
          <w:color w:val="000000"/>
          <w:spacing w:val="17"/>
          <w:sz w:val="24"/>
        </w:rPr>
        <w:t xml:space="preserve"> </w:t>
      </w:r>
      <w:r>
        <w:rPr>
          <w:rFonts w:eastAsia="Arial" w:cs="Arial" w:ascii="Arial" w:hAnsi="Arial"/>
          <w:color w:val="000000"/>
          <w:sz w:val="24"/>
        </w:rPr>
        <w:t>capaz</w:t>
      </w:r>
      <w:r>
        <w:rPr>
          <w:rFonts w:eastAsia="Arial" w:cs="Arial" w:ascii="Arial" w:hAnsi="Arial"/>
          <w:color w:val="000000"/>
          <w:spacing w:val="17"/>
          <w:sz w:val="24"/>
        </w:rPr>
        <w:t xml:space="preserve"> </w:t>
      </w:r>
      <w:r>
        <w:rPr>
          <w:rFonts w:eastAsia="Arial" w:cs="Arial" w:ascii="Arial" w:hAnsi="Arial"/>
          <w:color w:val="000000"/>
          <w:sz w:val="24"/>
        </w:rPr>
        <w:t>de</w:t>
      </w:r>
      <w:r>
        <w:rPr>
          <w:rFonts w:eastAsia="Arial" w:cs="Arial" w:ascii="Arial" w:hAnsi="Arial"/>
          <w:color w:val="000000"/>
          <w:spacing w:val="14"/>
          <w:sz w:val="24"/>
        </w:rPr>
        <w:t xml:space="preserve"> </w:t>
      </w:r>
      <w:r>
        <w:rPr>
          <w:rFonts w:eastAsia="Arial" w:cs="Arial" w:ascii="Arial" w:hAnsi="Arial"/>
          <w:color w:val="000000"/>
          <w:sz w:val="24"/>
        </w:rPr>
        <w:t>identificar</w:t>
      </w:r>
      <w:r>
        <w:rPr>
          <w:rFonts w:eastAsia="Arial" w:cs="Arial" w:ascii="Arial" w:hAnsi="Arial"/>
          <w:color w:val="000000"/>
          <w:spacing w:val="15"/>
          <w:sz w:val="24"/>
        </w:rPr>
        <w:t xml:space="preserve"> </w:t>
      </w:r>
      <w:r>
        <w:rPr>
          <w:rFonts w:eastAsia="Arial" w:cs="Arial" w:ascii="Arial" w:hAnsi="Arial"/>
          <w:color w:val="000000"/>
          <w:sz w:val="24"/>
        </w:rPr>
        <w:t>e</w:t>
      </w:r>
      <w:r>
        <w:rPr>
          <w:rFonts w:eastAsia="Arial" w:cs="Arial" w:ascii="Arial" w:hAnsi="Arial"/>
          <w:color w:val="000000"/>
          <w:spacing w:val="17"/>
          <w:sz w:val="24"/>
        </w:rPr>
        <w:t xml:space="preserve"> </w:t>
      </w:r>
      <w:r>
        <w:rPr>
          <w:rFonts w:eastAsia="Arial" w:cs="Arial" w:ascii="Arial" w:hAnsi="Arial"/>
          <w:color w:val="000000"/>
          <w:sz w:val="24"/>
        </w:rPr>
        <w:t>atuar</w:t>
      </w:r>
      <w:r>
        <w:rPr>
          <w:rFonts w:eastAsia="Arial" w:cs="Arial" w:ascii="Arial" w:hAnsi="Arial"/>
          <w:color w:val="000000"/>
          <w:spacing w:val="-57"/>
          <w:sz w:val="24"/>
        </w:rPr>
        <w:t xml:space="preserve">  </w:t>
      </w:r>
      <w:r>
        <w:rPr>
          <w:rFonts w:eastAsia="Arial" w:cs="Arial" w:ascii="Arial" w:hAnsi="Arial"/>
          <w:color w:val="000000"/>
          <w:sz w:val="24"/>
        </w:rPr>
        <w:t xml:space="preserve">de forma preventiva e corretiva, além de ser um agente de transformação de hábitos no seu ambiente de trabalho. </w:t>
      </w:r>
    </w:p>
    <w:p>
      <w:pPr>
        <w:pStyle w:val="Normal"/>
        <w:spacing w:lineRule="exact" w:line="360" w:before="90" w:after="0"/>
        <w:ind w:left="-624" w:right="-454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tbl>
      <w:tblPr>
        <w:tblW w:w="1015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153"/>
      </w:tblGrid>
      <w:tr>
        <w:trPr>
          <w:trHeight w:val="240" w:hRule="atLeast"/>
        </w:trPr>
        <w:tc>
          <w:tcPr>
            <w:tcW w:w="10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FE2F3" w:val="clear"/>
          </w:tcPr>
          <w:p>
            <w:pPr>
              <w:pStyle w:val="Normal"/>
              <w:widowControl w:val="false"/>
              <w:spacing w:lineRule="exact" w:line="240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Justificativa</w:t>
            </w:r>
          </w:p>
        </w:tc>
      </w:tr>
    </w:tbl>
    <w:p>
      <w:pPr>
        <w:pStyle w:val="Normal"/>
        <w:spacing w:lineRule="exact" w:line="360"/>
        <w:ind w:left="-567" w:right="-710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p>
      <w:pPr>
        <w:pStyle w:val="Normal"/>
        <w:spacing w:lineRule="exact" w:line="360"/>
        <w:ind w:left="-567" w:right="-710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color w:val="000000"/>
          <w:sz w:val="24"/>
        </w:rPr>
        <w:t xml:space="preserve">A CASST vem recebendo cada vez mais requerimentos de treinamentos, capacitação e aperfeiçoamento por parte de variados setores da universidade, preocupados com as condições laborais e com riscos de sinistro. A UFRRJ não possui nenhuma equipe específica para combate a incêndios, portanto capacitar os servidores para extinção da chama logo no início pode salvar vidas e a própria estrutura da universidade. O curso apresenta-se relevante na medida em que propiciará capacitação sobre a prevenção de acidentes de trabalho, bem como desenvolvimento de competências no reconhecimento e uso de extintores de incêndio. </w:t>
      </w:r>
    </w:p>
    <w:p>
      <w:pPr>
        <w:pStyle w:val="Normal"/>
        <w:spacing w:lineRule="exact" w:line="360"/>
        <w:ind w:left="-567" w:right="-710" w:hanging="0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tbl>
      <w:tblPr>
        <w:tblW w:w="1015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153"/>
      </w:tblGrid>
      <w:tr>
        <w:trPr>
          <w:trHeight w:val="240" w:hRule="atLeast"/>
        </w:trPr>
        <w:tc>
          <w:tcPr>
            <w:tcW w:w="10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FE2F3" w:val="clear"/>
          </w:tcPr>
          <w:p>
            <w:pPr>
              <w:pStyle w:val="Normal"/>
              <w:widowControl w:val="false"/>
              <w:spacing w:lineRule="exact" w:line="240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Competências a serem desenvolvidas</w:t>
            </w:r>
          </w:p>
        </w:tc>
      </w:tr>
    </w:tbl>
    <w:p>
      <w:pPr>
        <w:pStyle w:val="Normal"/>
        <w:spacing w:lineRule="exact" w:line="276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p>
      <w:pPr>
        <w:pStyle w:val="Normal"/>
        <w:spacing w:lineRule="exact" w:line="360"/>
        <w:ind w:left="-680" w:right="-510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color w:val="000000"/>
          <w:sz w:val="24"/>
        </w:rPr>
        <w:t xml:space="preserve">• </w:t>
      </w:r>
      <w:r>
        <w:rPr>
          <w:rFonts w:eastAsia="Arial" w:cs="Arial" w:ascii="Arial" w:hAnsi="Arial"/>
          <w:color w:val="000000"/>
          <w:sz w:val="24"/>
        </w:rPr>
        <w:t>Obter conhecimento e orientações específicas para a prevenção de acidentes no trabalho;</w:t>
      </w:r>
    </w:p>
    <w:p>
      <w:pPr>
        <w:pStyle w:val="Normal"/>
        <w:spacing w:lineRule="exact" w:line="360"/>
        <w:ind w:left="-680" w:right="-510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color w:val="000000"/>
          <w:sz w:val="24"/>
        </w:rPr>
        <w:t xml:space="preserve">• </w:t>
      </w:r>
      <w:r>
        <w:rPr>
          <w:rFonts w:eastAsia="Arial" w:cs="Arial" w:ascii="Arial" w:hAnsi="Arial"/>
          <w:color w:val="000000"/>
          <w:sz w:val="24"/>
        </w:rPr>
        <w:t>Identificar e avaliar situações de risco nos locais de trabalho;</w:t>
      </w:r>
    </w:p>
    <w:p>
      <w:pPr>
        <w:pStyle w:val="Normal"/>
        <w:spacing w:lineRule="exact" w:line="360"/>
        <w:ind w:left="-680" w:right="-510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color w:val="000000"/>
          <w:sz w:val="24"/>
        </w:rPr>
        <w:t xml:space="preserve">• </w:t>
      </w:r>
      <w:r>
        <w:rPr>
          <w:rFonts w:eastAsia="Arial" w:cs="Arial" w:ascii="Arial" w:hAnsi="Arial"/>
          <w:color w:val="000000"/>
          <w:sz w:val="24"/>
        </w:rPr>
        <w:t>Aplicar os conhecimentos na prevenção de acidentes, situações de riscos ao princípio de incêndio e suporte básico ao acidentado;</w:t>
      </w:r>
    </w:p>
    <w:p>
      <w:pPr>
        <w:pStyle w:val="Normal"/>
        <w:spacing w:lineRule="exact" w:line="360"/>
        <w:ind w:left="-680" w:right="-510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color w:val="000000"/>
          <w:sz w:val="24"/>
        </w:rPr>
        <w:t xml:space="preserve">• </w:t>
      </w:r>
      <w:r>
        <w:rPr>
          <w:rFonts w:eastAsia="Arial" w:cs="Arial" w:ascii="Arial" w:hAnsi="Arial"/>
          <w:color w:val="000000"/>
          <w:sz w:val="24"/>
        </w:rPr>
        <w:t>Multiplicar o conhecimento adquirido no curso para outras pessoas no setor, garantindo um local de trabalho seguro;</w:t>
      </w:r>
    </w:p>
    <w:p>
      <w:pPr>
        <w:pStyle w:val="Normal"/>
        <w:spacing w:lineRule="exact" w:line="360"/>
        <w:ind w:left="-680" w:right="-510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color w:val="000000"/>
          <w:sz w:val="24"/>
        </w:rPr>
        <w:t xml:space="preserve">• </w:t>
      </w:r>
      <w:r>
        <w:rPr>
          <w:rFonts w:eastAsia="Arial" w:cs="Arial" w:ascii="Arial" w:hAnsi="Arial"/>
          <w:color w:val="000000"/>
          <w:sz w:val="24"/>
        </w:rPr>
        <w:t>Compreender os procedimentos para comunicação de acidente de trabalho e para regularizar a situação do acidentado com a universidade;</w:t>
      </w:r>
    </w:p>
    <w:p>
      <w:pPr>
        <w:pStyle w:val="Normal"/>
        <w:spacing w:lineRule="exact" w:line="360"/>
        <w:ind w:left="-680" w:right="-510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color w:val="000000"/>
          <w:sz w:val="24"/>
        </w:rPr>
        <w:t xml:space="preserve">• </w:t>
      </w:r>
      <w:r>
        <w:rPr>
          <w:rFonts w:eastAsia="Arial" w:cs="Arial" w:ascii="Arial" w:hAnsi="Arial"/>
          <w:color w:val="000000"/>
          <w:sz w:val="24"/>
        </w:rPr>
        <w:t>Reconhecer e usar corretamente os equipamentos de combate ao princípio de incêndio;</w:t>
      </w:r>
    </w:p>
    <w:p>
      <w:pPr>
        <w:pStyle w:val="Normal"/>
        <w:spacing w:lineRule="exact" w:line="360"/>
        <w:ind w:left="-680" w:right="-510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color w:val="000000"/>
          <w:sz w:val="24"/>
        </w:rPr>
        <w:t xml:space="preserve">• </w:t>
      </w:r>
      <w:r>
        <w:rPr>
          <w:rFonts w:eastAsia="Arial" w:cs="Arial" w:ascii="Arial" w:hAnsi="Arial"/>
          <w:color w:val="000000"/>
          <w:sz w:val="24"/>
        </w:rPr>
        <w:t>Gerar ações preventivas mantendo em condições de uso os extintores e suas sinalizações;</w:t>
      </w:r>
    </w:p>
    <w:p>
      <w:pPr>
        <w:pStyle w:val="Normal"/>
        <w:spacing w:lineRule="exact" w:line="360"/>
        <w:ind w:left="-680" w:right="-510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color w:val="000000"/>
          <w:sz w:val="24"/>
        </w:rPr>
        <w:t xml:space="preserve">• </w:t>
      </w:r>
      <w:r>
        <w:rPr>
          <w:rFonts w:eastAsia="Arial" w:cs="Arial" w:ascii="Arial" w:hAnsi="Arial"/>
          <w:color w:val="000000"/>
          <w:sz w:val="24"/>
        </w:rPr>
        <w:t>Compreender a segurança do trabalho também como ferramenta das relações interpessoais, contribuindo no respeito às diversidades e à inclusão social e cultural dos  ambientes de trabalho.</w:t>
      </w:r>
    </w:p>
    <w:p>
      <w:pPr>
        <w:pStyle w:val="Normal"/>
        <w:tabs>
          <w:tab w:val="clear" w:pos="709"/>
          <w:tab w:val="left" w:pos="720" w:leader="none"/>
          <w:tab w:val="left" w:pos="750" w:leader="none"/>
        </w:tabs>
        <w:spacing w:lineRule="exact" w:line="360"/>
        <w:ind w:left="-680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tbl>
      <w:tblPr>
        <w:tblW w:w="1015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153"/>
      </w:tblGrid>
      <w:tr>
        <w:trPr>
          <w:trHeight w:val="240" w:hRule="atLeast"/>
        </w:trPr>
        <w:tc>
          <w:tcPr>
            <w:tcW w:w="10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FE2F3" w:val="clear"/>
          </w:tcPr>
          <w:p>
            <w:pPr>
              <w:pStyle w:val="Normal"/>
              <w:widowControl w:val="false"/>
              <w:spacing w:lineRule="exact" w:line="240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Estratégias de Ensino</w:t>
            </w:r>
          </w:p>
        </w:tc>
      </w:tr>
    </w:tbl>
    <w:p>
      <w:pPr>
        <w:pStyle w:val="Normal"/>
        <w:spacing w:lineRule="exact" w:line="360"/>
        <w:ind w:left="-709" w:right="-710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p>
      <w:pPr>
        <w:pStyle w:val="Normal"/>
        <w:spacing w:lineRule="exact" w:line="360"/>
        <w:ind w:left="-567" w:right="-426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color w:val="000000"/>
          <w:sz w:val="24"/>
        </w:rPr>
        <w:t>O curso terá como estratégia de ensino a ministração de aulas expositivas e aulas práticas, com interação constante entre instrutor-participante. Os materiais didáticos estarão disponíveis em formato online e impresso.</w:t>
      </w:r>
    </w:p>
    <w:p>
      <w:pPr>
        <w:pStyle w:val="Normal"/>
        <w:spacing w:lineRule="exact" w:line="360"/>
        <w:ind w:left="-567" w:right="-426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tbl>
      <w:tblPr>
        <w:tblW w:w="1015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153"/>
      </w:tblGrid>
      <w:tr>
        <w:trPr>
          <w:trHeight w:val="240" w:hRule="atLeast"/>
        </w:trPr>
        <w:tc>
          <w:tcPr>
            <w:tcW w:w="10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FE2F3" w:val="clear"/>
          </w:tcPr>
          <w:p>
            <w:pPr>
              <w:pStyle w:val="Normal"/>
              <w:widowControl w:val="false"/>
              <w:spacing w:lineRule="exact" w:line="240"/>
              <w:jc w:val="both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Recursos Didáticos</w:t>
            </w:r>
          </w:p>
        </w:tc>
      </w:tr>
    </w:tbl>
    <w:p>
      <w:pPr>
        <w:pStyle w:val="Normal"/>
        <w:spacing w:lineRule="exact" w:line="276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p>
      <w:pPr>
        <w:pStyle w:val="Normal"/>
        <w:spacing w:lineRule="exact" w:line="360"/>
        <w:ind w:left="-567" w:right="-426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color w:val="000000"/>
          <w:sz w:val="24"/>
        </w:rPr>
        <w:t>Serão utilizados os seguintes recursos didáticos: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153" w:leader="none"/>
        </w:tabs>
        <w:spacing w:lineRule="exact" w:line="360"/>
        <w:ind w:left="153" w:hanging="36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color w:val="000000"/>
          <w:sz w:val="24"/>
        </w:rPr>
        <w:t>Kit multimídia;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153" w:leader="none"/>
        </w:tabs>
        <w:spacing w:lineRule="exact" w:line="360"/>
        <w:ind w:left="153" w:hanging="36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color w:val="000000"/>
          <w:sz w:val="24"/>
        </w:rPr>
        <w:t>Apostilas digitais e impressas;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153" w:leader="none"/>
        </w:tabs>
        <w:spacing w:lineRule="exact" w:line="360"/>
        <w:ind w:left="153" w:hanging="36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color w:val="000000"/>
          <w:sz w:val="24"/>
        </w:rPr>
        <w:t>Equipamentos de combate a princípios de incêndios.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153" w:leader="none"/>
        </w:tabs>
        <w:spacing w:lineRule="exact" w:line="360"/>
        <w:ind w:left="153" w:hanging="36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color w:val="000000"/>
          <w:sz w:val="24"/>
        </w:rPr>
        <w:t>Manequim de primeiros socorros</w:t>
      </w:r>
    </w:p>
    <w:p>
      <w:pPr>
        <w:pStyle w:val="Normal"/>
        <w:tabs>
          <w:tab w:val="clear" w:pos="709"/>
          <w:tab w:val="left" w:pos="153" w:leader="none"/>
        </w:tabs>
        <w:spacing w:lineRule="exact" w:line="360"/>
        <w:jc w:val="both"/>
        <w:rPr>
          <w:rFonts w:ascii="Arial" w:hAnsi="Arial" w:eastAsia="Arial" w:cs="Arial"/>
          <w:color w:val="000000"/>
          <w:sz w:val="24"/>
        </w:rPr>
      </w:pPr>
      <w:r>
        <w:rPr>
          <w:rFonts w:eastAsia="Arial" w:cs="Arial" w:ascii="Arial" w:hAnsi="Arial"/>
          <w:color w:val="000000"/>
          <w:sz w:val="24"/>
        </w:rPr>
      </w:r>
    </w:p>
    <w:p>
      <w:pPr>
        <w:pStyle w:val="Normal"/>
        <w:tabs>
          <w:tab w:val="clear" w:pos="709"/>
          <w:tab w:val="left" w:pos="153" w:leader="none"/>
        </w:tabs>
        <w:spacing w:lineRule="exact" w:line="360"/>
        <w:ind w:left="153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tbl>
      <w:tblPr>
        <w:tblW w:w="1015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153"/>
      </w:tblGrid>
      <w:tr>
        <w:trPr>
          <w:trHeight w:val="240" w:hRule="atLeast"/>
        </w:trPr>
        <w:tc>
          <w:tcPr>
            <w:tcW w:w="10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FE2F3" w:val="clear"/>
          </w:tcPr>
          <w:p>
            <w:pPr>
              <w:pStyle w:val="Normal"/>
              <w:widowControl w:val="false"/>
              <w:spacing w:lineRule="exact" w:line="240"/>
              <w:jc w:val="both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Procedimentos de Avaliação</w:t>
            </w:r>
          </w:p>
        </w:tc>
      </w:tr>
    </w:tbl>
    <w:p>
      <w:pPr>
        <w:pStyle w:val="Normal"/>
        <w:spacing w:lineRule="exact" w:line="240"/>
        <w:ind w:left="-709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11" w:leader="none"/>
        </w:tabs>
        <w:spacing w:lineRule="exact" w:line="360"/>
        <w:ind w:left="11" w:hanging="36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color w:val="000000"/>
          <w:sz w:val="24"/>
        </w:rPr>
        <w:t>Serão propostas atividades a serem respondidas pelos alunos ao término de cada módulo, a fim de verificar o conhecimento adquirido e gerar a certificação do curso ao término do mesmo. Os alunos que concluírem satisfatoriamente a todas as atividades propostas serão certificados.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11" w:leader="none"/>
        </w:tabs>
        <w:spacing w:lineRule="exact" w:line="360"/>
        <w:ind w:left="11" w:hanging="36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color w:val="000000"/>
          <w:sz w:val="24"/>
        </w:rPr>
        <w:t>Obtenção de frequência de, no mínimo, 70% da carga horária do curso.</w:t>
      </w:r>
    </w:p>
    <w:p>
      <w:pPr>
        <w:pStyle w:val="Normal"/>
        <w:spacing w:lineRule="exact" w:line="240"/>
        <w:ind w:left="-567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tbl>
      <w:tblPr>
        <w:tblW w:w="117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93"/>
        <w:gridCol w:w="1468"/>
        <w:gridCol w:w="1420"/>
        <w:gridCol w:w="4819"/>
        <w:gridCol w:w="3272"/>
      </w:tblGrid>
      <w:tr>
        <w:trPr>
          <w:trHeight w:val="240" w:hRule="atLeast"/>
        </w:trPr>
        <w:tc>
          <w:tcPr>
            <w:tcW w:w="117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FE2F3" w:val="clear"/>
          </w:tcPr>
          <w:p>
            <w:pPr>
              <w:pStyle w:val="Normal"/>
              <w:widowControl w:val="false"/>
              <w:spacing w:lineRule="exact" w:line="240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Conteúdo e Cronograma</w:t>
            </w:r>
          </w:p>
        </w:tc>
      </w:tr>
      <w:tr>
        <w:trPr>
          <w:trHeight w:val="984" w:hRule="atLeast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keepNext w:val="true"/>
              <w:widowControl w:val="false"/>
              <w:spacing w:lineRule="exact" w:line="240" w:before="60" w:after="0"/>
              <w:jc w:val="center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Aula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keepNext w:val="true"/>
              <w:widowControl w:val="false"/>
              <w:spacing w:lineRule="exact" w:line="240" w:before="60" w:after="0"/>
              <w:jc w:val="center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Data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keepNext w:val="true"/>
              <w:widowControl w:val="false"/>
              <w:spacing w:lineRule="exact" w:line="240" w:before="60" w:after="0"/>
              <w:jc w:val="center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Horário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keepNext w:val="true"/>
              <w:widowControl w:val="false"/>
              <w:spacing w:lineRule="exact" w:line="240" w:before="60" w:after="0"/>
              <w:jc w:val="center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Conteúdo Programático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keepNext w:val="true"/>
              <w:widowControl w:val="false"/>
              <w:spacing w:lineRule="exact" w:line="240" w:before="60" w:after="0"/>
              <w:jc w:val="center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Estratégia de ensino</w:t>
            </w:r>
          </w:p>
        </w:tc>
      </w:tr>
      <w:tr>
        <w:trPr>
          <w:trHeight w:val="1155" w:hRule="atLeast"/>
        </w:trPr>
        <w:tc>
          <w:tcPr>
            <w:tcW w:w="7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jc w:val="center"/>
              <w:rPr/>
            </w:pPr>
            <w:r>
              <w:rPr>
                <w:b/>
                <w:bCs/>
                <w:sz w:val="24"/>
                <w:szCs w:val="28"/>
              </w:rPr>
              <w:t>1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rPr>
                <w:rFonts w:ascii="Arial" w:hAnsi="Arial" w:eastAsia="Arial" w:cs="Arial"/>
                <w:color w:val="000000"/>
                <w:sz w:val="24"/>
                <w:szCs w:val="28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8"/>
              </w:rPr>
              <w:t>14</w:t>
            </w:r>
            <w:r>
              <w:rPr>
                <w:rFonts w:eastAsia="Arial" w:cs="Arial" w:ascii="Arial" w:hAnsi="Arial"/>
                <w:color w:val="000000"/>
                <w:sz w:val="24"/>
                <w:szCs w:val="28"/>
              </w:rPr>
              <w:t>/10/26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13h às 17h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jc w:val="both"/>
              <w:rPr>
                <w:rFonts w:ascii="Arial" w:hAnsi="Arial" w:eastAsia="Arial" w:cs="Arial"/>
                <w:b/>
                <w:b/>
                <w:color w:val="000000"/>
              </w:rPr>
            </w:pPr>
            <w:r>
              <w:rPr>
                <w:rFonts w:eastAsia="Arial" w:cs="Arial" w:ascii="Arial" w:hAnsi="Arial"/>
                <w:b/>
                <w:color w:val="000000"/>
              </w:rPr>
            </w:r>
          </w:p>
          <w:p>
            <w:pPr>
              <w:pStyle w:val="Normal"/>
              <w:widowControl w:val="false"/>
              <w:spacing w:lineRule="exact" w:line="24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Arial" w:cs="Arial" w:ascii="Arial" w:hAnsi="Arial"/>
                <w:b/>
                <w:color w:val="000000"/>
              </w:rPr>
              <w:t>Módulo 1 – Prevenção de Acidentes</w:t>
            </w:r>
          </w:p>
          <w:p>
            <w:pPr>
              <w:pStyle w:val="Normal"/>
              <w:widowControl w:val="false"/>
              <w:spacing w:lineRule="exact" w:line="24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Arial" w:cs="Arial" w:ascii="Arial" w:hAnsi="Arial"/>
                <w:b/>
                <w:color w:val="000000"/>
              </w:rPr>
              <w:t>Instrutor: Rafael Oliveira</w:t>
            </w:r>
          </w:p>
          <w:p>
            <w:pPr>
              <w:pStyle w:val="Normal"/>
              <w:widowControl w:val="false"/>
              <w:spacing w:lineRule="exact" w:line="24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</w:rPr>
            </w:r>
          </w:p>
          <w:p>
            <w:pPr>
              <w:pStyle w:val="Normal"/>
              <w:widowControl w:val="false"/>
              <w:spacing w:lineRule="exact" w:line="276"/>
              <w:ind w:left="454" w:right="57"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Arial" w:cs="Arial" w:ascii="Arial" w:hAnsi="Arial"/>
                <w:color w:val="000000"/>
              </w:rPr>
              <w:t>1. O que é Segurança no Trabalho?;</w:t>
            </w:r>
          </w:p>
          <w:p>
            <w:pPr>
              <w:pStyle w:val="Normal"/>
              <w:widowControl w:val="false"/>
              <w:spacing w:lineRule="exact" w:line="276"/>
              <w:ind w:left="454" w:right="57"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Arial" w:cs="Arial" w:ascii="Arial" w:hAnsi="Arial"/>
                <w:color w:val="000000"/>
              </w:rPr>
              <w:t>2. Diferença de Perigo e Risco;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exact" w:line="240" w:before="0" w:after="0"/>
              <w:ind w:left="0" w:right="0" w:firstLine="454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3. Acidente, Incidente e Desvio;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exact" w:line="240" w:before="0" w:after="0"/>
              <w:ind w:left="0" w:right="0" w:firstLine="454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4. Normas Regulamentadoras;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exact" w:line="240" w:before="0" w:after="0"/>
              <w:ind w:left="0" w:right="0" w:firstLine="454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5. Cultura de Segurança;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exact" w:line="240" w:before="0" w:after="0"/>
              <w:ind w:left="0" w:right="0" w:firstLine="454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6. CAT e Afastamento Médico;</w:t>
            </w:r>
          </w:p>
          <w:p>
            <w:pPr>
              <w:pStyle w:val="Normal"/>
              <w:widowControl w:val="false"/>
              <w:spacing w:lineRule="exact" w:line="240"/>
              <w:ind w:left="397" w:hanging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2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  <w:p>
            <w:pPr>
              <w:pStyle w:val="Normal"/>
              <w:widowControl w:val="false"/>
              <w:spacing w:lineRule="exact" w:line="24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color w:val="000000"/>
              </w:rPr>
              <w:t>Apresentação de slides, material</w:t>
            </w:r>
            <w:r>
              <w:rPr>
                <w:rFonts w:eastAsia="Arial" w:cs="Arial" w:ascii="Arial" w:hAnsi="Arial"/>
                <w:color w:val="000000"/>
                <w:spacing w:val="-47"/>
              </w:rPr>
              <w:t xml:space="preserve"> </w:t>
            </w:r>
            <w:r>
              <w:rPr>
                <w:rFonts w:eastAsia="Arial" w:cs="Arial" w:ascii="Arial" w:hAnsi="Arial"/>
                <w:color w:val="000000"/>
              </w:rPr>
              <w:t>complementar (vídeos e textos).</w:t>
            </w:r>
          </w:p>
          <w:p>
            <w:pPr>
              <w:pStyle w:val="Normal"/>
              <w:widowControl w:val="false"/>
              <w:spacing w:lineRule="exact" w:line="240" w:before="110" w:after="0"/>
              <w:ind w:left="107" w:right="156" w:hanging="0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  <w:tr>
        <w:trPr>
          <w:trHeight w:val="2850" w:hRule="atLeast"/>
        </w:trPr>
        <w:tc>
          <w:tcPr>
            <w:tcW w:w="7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jc w:val="center"/>
              <w:rPr>
                <w:b/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2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rPr>
                <w:rFonts w:ascii="Arial" w:hAnsi="Arial" w:eastAsia="Arial" w:cs="Arial"/>
                <w:color w:val="000000"/>
                <w:sz w:val="24"/>
                <w:szCs w:val="28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8"/>
              </w:rPr>
              <w:t>21</w:t>
            </w:r>
            <w:r>
              <w:rPr>
                <w:rFonts w:eastAsia="Arial" w:cs="Arial" w:ascii="Arial" w:hAnsi="Arial"/>
                <w:color w:val="000000"/>
                <w:sz w:val="24"/>
                <w:szCs w:val="28"/>
              </w:rPr>
              <w:t>/10/26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13h às 17h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jc w:val="both"/>
              <w:rPr>
                <w:rFonts w:ascii="Arial" w:hAnsi="Arial" w:eastAsia="Arial" w:cs="Arial"/>
                <w:b/>
                <w:b/>
              </w:rPr>
            </w:pPr>
            <w:r>
              <w:rPr>
                <w:rFonts w:eastAsia="Arial" w:cs="Arial" w:ascii="Arial" w:hAnsi="Arial"/>
                <w:b/>
              </w:rPr>
            </w:r>
          </w:p>
          <w:p>
            <w:pPr>
              <w:pStyle w:val="Normal"/>
              <w:widowControl w:val="false"/>
              <w:spacing w:lineRule="exact" w:line="24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Arial" w:cs="Arial" w:ascii="Arial" w:hAnsi="Arial"/>
                <w:b/>
                <w:color w:val="000000"/>
              </w:rPr>
              <w:t>Módulo 1 – Prevenção de Acidentes</w:t>
            </w:r>
            <w:r>
              <w:rPr>
                <w:rFonts w:eastAsia="Arial" w:cs="Arial" w:ascii="Arial" w:hAnsi="Arial"/>
                <w:color w:val="000000"/>
              </w:rPr>
              <w:br/>
            </w:r>
            <w:r>
              <w:rPr>
                <w:rFonts w:eastAsia="Arial" w:cs="Arial" w:ascii="Arial" w:hAnsi="Arial"/>
                <w:b/>
                <w:color w:val="000000"/>
              </w:rPr>
              <w:t>Instrutor: Fabiano Gama</w:t>
            </w:r>
          </w:p>
          <w:p>
            <w:pPr>
              <w:pStyle w:val="Normal"/>
              <w:widowControl w:val="false"/>
              <w:spacing w:lineRule="exact" w:line="24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</w:rPr>
            </w:r>
          </w:p>
          <w:p>
            <w:pPr>
              <w:pStyle w:val="Normal"/>
              <w:widowControl w:val="false"/>
              <w:spacing w:lineRule="exact" w:line="276"/>
              <w:ind w:left="454" w:right="57"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Arial" w:cs="Arial" w:ascii="Arial" w:hAnsi="Arial"/>
                <w:color w:val="000000"/>
              </w:rPr>
              <w:t>1. Riscos de acidentes;</w:t>
            </w:r>
          </w:p>
          <w:p>
            <w:pPr>
              <w:pStyle w:val="Normal"/>
              <w:widowControl w:val="false"/>
              <w:spacing w:lineRule="exact" w:line="276"/>
              <w:ind w:left="454" w:right="57"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Arial" w:cs="Arial" w:ascii="Arial" w:hAnsi="Arial"/>
                <w:color w:val="000000"/>
              </w:rPr>
              <w:t>2. Importância dos EPIs na prevenção de acidentes;</w:t>
            </w:r>
          </w:p>
          <w:p>
            <w:pPr>
              <w:pStyle w:val="Normal"/>
              <w:widowControl w:val="false"/>
              <w:spacing w:lineRule="exact" w:line="276"/>
              <w:ind w:left="454" w:right="57"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Arial" w:cs="Arial" w:ascii="Arial" w:hAnsi="Arial"/>
                <w:color w:val="000000"/>
              </w:rPr>
              <w:t>3. Importância da sinalização na prevenção de acidentes;</w:t>
            </w:r>
          </w:p>
          <w:p>
            <w:pPr>
              <w:pStyle w:val="Normal"/>
              <w:widowControl w:val="false"/>
              <w:spacing w:lineRule="exact" w:line="276"/>
              <w:ind w:left="454" w:right="57" w:hanging="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Arial" w:cs="Arial" w:ascii="Arial" w:hAnsi="Arial"/>
                <w:color w:val="000000"/>
              </w:rPr>
              <w:t>4. Campanhas de segurança.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exact" w:line="240" w:before="0" w:after="0"/>
              <w:ind w:left="454" w:right="0" w:hanging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color w:val="000000"/>
              </w:rPr>
              <w:t>5. Política de Segurança e Saúde da UFRRJ.</w:t>
            </w:r>
          </w:p>
          <w:p>
            <w:pPr>
              <w:pStyle w:val="Normal"/>
              <w:widowControl w:val="false"/>
              <w:spacing w:lineRule="exact" w:line="240"/>
              <w:ind w:left="397" w:hanging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32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 w:before="110" w:after="0"/>
              <w:ind w:left="107" w:right="156" w:hanging="0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Apresentação de slides, material</w:t>
            </w:r>
            <w:r>
              <w:rPr>
                <w:rFonts w:eastAsia="Arial" w:cs="Arial" w:ascii="Arial" w:hAnsi="Arial"/>
                <w:color w:val="000000"/>
                <w:spacing w:val="-47"/>
              </w:rPr>
              <w:t xml:space="preserve"> </w:t>
            </w:r>
            <w:r>
              <w:rPr>
                <w:rFonts w:eastAsia="Arial" w:cs="Arial" w:ascii="Arial" w:hAnsi="Arial"/>
                <w:color w:val="000000"/>
              </w:rPr>
              <w:t>complementar (vídeos e textos).</w:t>
            </w:r>
          </w:p>
        </w:tc>
      </w:tr>
      <w:tr>
        <w:trPr>
          <w:trHeight w:val="1155" w:hRule="atLeast"/>
        </w:trPr>
        <w:tc>
          <w:tcPr>
            <w:tcW w:w="7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  <w:sz w:val="24"/>
                <w:szCs w:val="28"/>
              </w:rPr>
              <w:t>3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rPr/>
            </w:pPr>
            <w:r>
              <w:rPr>
                <w:rFonts w:eastAsia="Arial" w:cs="Arial" w:ascii="Arial" w:hAnsi="Arial"/>
                <w:color w:val="000000"/>
                <w:sz w:val="24"/>
                <w:szCs w:val="28"/>
              </w:rPr>
              <w:t>2</w:t>
            </w:r>
            <w:r>
              <w:rPr>
                <w:rFonts w:eastAsia="Arial" w:cs="Arial" w:ascii="Arial" w:hAnsi="Arial"/>
                <w:color w:val="000000"/>
                <w:sz w:val="24"/>
                <w:szCs w:val="28"/>
              </w:rPr>
              <w:t>8</w:t>
            </w:r>
            <w:r>
              <w:rPr>
                <w:rFonts w:eastAsia="Arial" w:cs="Arial" w:ascii="Arial" w:hAnsi="Arial"/>
                <w:color w:val="000000"/>
                <w:sz w:val="24"/>
                <w:szCs w:val="28"/>
              </w:rPr>
              <w:t>/10/26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jc w:val="center"/>
              <w:rPr/>
            </w:pPr>
            <w:r>
              <w:rPr>
                <w:rFonts w:eastAsia="Arial" w:cs="Arial" w:ascii="Arial" w:hAnsi="Arial"/>
                <w:color w:val="000000"/>
              </w:rPr>
              <w:t>13h às 17h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ind w:left="397" w:hanging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  <w:p>
            <w:pPr>
              <w:pStyle w:val="Normal"/>
              <w:widowControl w:val="false"/>
              <w:spacing w:lineRule="exact" w:line="240"/>
              <w:jc w:val="both"/>
              <w:rPr>
                <w:rFonts w:ascii="Arial" w:hAnsi="Arial" w:eastAsia="Arial" w:cs="Arial"/>
                <w:b/>
                <w:b/>
              </w:rPr>
            </w:pPr>
            <w:r>
              <w:rPr>
                <w:rFonts w:eastAsia="Arial" w:cs="Arial" w:ascii="Arial" w:hAnsi="Arial"/>
                <w:b/>
                <w:color w:val="000000"/>
              </w:rPr>
              <w:t>Módulo 2 – Prevenção e Combate a Princípio de Incêndio.</w:t>
            </w:r>
          </w:p>
          <w:p>
            <w:pPr>
              <w:pStyle w:val="Normal"/>
              <w:widowControl w:val="false"/>
              <w:spacing w:lineRule="exact" w:line="24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color w:val="000000"/>
              </w:rPr>
              <w:t>Instrutor: Claudio Santos</w:t>
            </w:r>
          </w:p>
          <w:p>
            <w:pPr>
              <w:pStyle w:val="Normal"/>
              <w:widowControl w:val="false"/>
              <w:spacing w:lineRule="exact" w:line="24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</w:rPr>
            </w:r>
          </w:p>
          <w:p>
            <w:pPr>
              <w:pStyle w:val="Normal"/>
              <w:widowControl w:val="false"/>
              <w:spacing w:lineRule="exact" w:line="276"/>
              <w:ind w:left="454" w:right="57" w:hanging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color w:val="000000"/>
              </w:rPr>
              <w:t>1. Noções básicas de combate a incêndio;</w:t>
            </w:r>
          </w:p>
          <w:p>
            <w:pPr>
              <w:pStyle w:val="Normal"/>
              <w:widowControl w:val="false"/>
              <w:spacing w:lineRule="exact" w:line="276"/>
              <w:ind w:left="454" w:right="57" w:hanging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color w:val="000000"/>
              </w:rPr>
              <w:t>2. Classes de incêndio;</w:t>
            </w:r>
          </w:p>
          <w:p>
            <w:pPr>
              <w:pStyle w:val="Normal"/>
              <w:widowControl w:val="false"/>
              <w:spacing w:lineRule="exact" w:line="276"/>
              <w:ind w:left="454" w:right="57" w:hanging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color w:val="000000"/>
              </w:rPr>
              <w:t>3. Principais tipos de extintores de incêndio portáteis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;</w:t>
            </w:r>
          </w:p>
          <w:p>
            <w:pPr>
              <w:pStyle w:val="Normal"/>
              <w:widowControl w:val="false"/>
              <w:spacing w:lineRule="exact" w:line="276"/>
              <w:ind w:left="454" w:right="57" w:hanging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color w:val="000000"/>
              </w:rPr>
              <w:t>4. Características dos extintores de incêndio;</w:t>
            </w:r>
          </w:p>
          <w:p>
            <w:pPr>
              <w:pStyle w:val="Normal"/>
              <w:widowControl w:val="false"/>
              <w:spacing w:lineRule="exact" w:line="276"/>
              <w:ind w:left="454" w:right="57" w:hanging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color w:val="000000"/>
              </w:rPr>
              <w:t>5. Sinalização dos extintores de incêndio;</w:t>
            </w:r>
          </w:p>
          <w:p>
            <w:pPr>
              <w:pStyle w:val="Normal"/>
              <w:widowControl w:val="false"/>
              <w:spacing w:lineRule="exact" w:line="276"/>
              <w:ind w:left="454" w:right="57" w:hanging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color w:val="000000"/>
              </w:rPr>
              <w:t>6. Sinalização: saída de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exact" w:line="240" w:before="0" w:after="0"/>
              <w:ind w:left="0" w:right="0" w:firstLine="454"/>
              <w:jc w:val="both"/>
              <w:rPr>
                <w:rFonts w:ascii="Arial" w:hAnsi="Arial" w:eastAsia="Arial" w:cs="Arial"/>
                <w:b/>
                <w:b/>
              </w:rPr>
            </w:pPr>
            <w:r>
              <w:rPr>
                <w:rFonts w:eastAsia="Arial" w:cs="Arial" w:ascii="Arial" w:hAnsi="Arial"/>
                <w:color w:val="000000"/>
              </w:rPr>
              <w:t>emergência e rota de fuga.</w:t>
            </w:r>
          </w:p>
          <w:p>
            <w:pPr>
              <w:pStyle w:val="Normal"/>
              <w:widowControl w:val="false"/>
              <w:spacing w:lineRule="exact" w:line="240"/>
              <w:ind w:left="454" w:hanging="0"/>
              <w:jc w:val="both"/>
              <w:rPr/>
            </w:pPr>
            <w:r>
              <w:rPr/>
            </w:r>
          </w:p>
        </w:tc>
        <w:tc>
          <w:tcPr>
            <w:tcW w:w="32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 w:before="110" w:after="0"/>
              <w:ind w:left="107" w:right="156" w:hanging="0"/>
              <w:jc w:val="center"/>
              <w:rPr/>
            </w:pPr>
            <w:r>
              <w:rPr>
                <w:rFonts w:eastAsia="Arial" w:cs="Arial" w:ascii="Arial" w:hAnsi="Arial"/>
                <w:color w:val="000000"/>
              </w:rPr>
              <w:t>Apresentação de slides, material</w:t>
            </w:r>
            <w:r>
              <w:rPr>
                <w:rFonts w:eastAsia="Arial" w:cs="Arial" w:ascii="Arial" w:hAnsi="Arial"/>
                <w:color w:val="000000"/>
                <w:spacing w:val="-47"/>
              </w:rPr>
              <w:t xml:space="preserve"> </w:t>
            </w:r>
            <w:r>
              <w:rPr>
                <w:rFonts w:eastAsia="Arial" w:cs="Arial" w:ascii="Arial" w:hAnsi="Arial"/>
                <w:color w:val="000000"/>
              </w:rPr>
              <w:t>complementar (vídeos e textos).</w:t>
            </w:r>
          </w:p>
        </w:tc>
      </w:tr>
      <w:tr>
        <w:trPr>
          <w:trHeight w:val="1155" w:hRule="atLeast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jc w:val="center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4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24"/>
                <w:szCs w:val="28"/>
              </w:rPr>
              <w:t>04/11</w:t>
            </w:r>
            <w:r>
              <w:rPr>
                <w:rFonts w:eastAsia="Arial" w:cs="Arial" w:ascii="Arial" w:hAnsi="Arial"/>
                <w:color w:val="000000"/>
                <w:sz w:val="24"/>
                <w:szCs w:val="28"/>
              </w:rPr>
              <w:t>/26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jc w:val="center"/>
              <w:rPr/>
            </w:pPr>
            <w:r>
              <w:rPr>
                <w:rFonts w:eastAsia="Arial" w:cs="Arial" w:ascii="Arial" w:hAnsi="Arial"/>
                <w:color w:val="000000"/>
              </w:rPr>
              <w:t>13h  às 17h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jc w:val="both"/>
              <w:rPr>
                <w:rFonts w:ascii="Arial" w:hAnsi="Arial" w:eastAsia="Arial" w:cs="Arial"/>
                <w:b/>
                <w:b/>
                <w:color w:val="000000"/>
              </w:rPr>
            </w:pPr>
            <w:r>
              <w:rPr>
                <w:rFonts w:eastAsia="Arial" w:cs="Arial" w:ascii="Arial" w:hAnsi="Arial"/>
                <w:b/>
                <w:color w:val="000000"/>
              </w:rPr>
            </w:r>
          </w:p>
          <w:p>
            <w:pPr>
              <w:pStyle w:val="Normal"/>
              <w:widowControl w:val="false"/>
              <w:spacing w:lineRule="exact" w:line="240"/>
              <w:jc w:val="both"/>
              <w:rPr>
                <w:rFonts w:ascii="Arial" w:hAnsi="Arial" w:eastAsia="Arial" w:cs="Arial"/>
                <w:b/>
                <w:b/>
              </w:rPr>
            </w:pPr>
            <w:r>
              <w:rPr>
                <w:rFonts w:eastAsia="Arial" w:cs="Arial" w:ascii="Arial" w:hAnsi="Arial"/>
                <w:b/>
                <w:color w:val="000000"/>
              </w:rPr>
              <w:t>Módulo 2 – Prevenção e Combate a Princípio de Incêndio.</w:t>
            </w:r>
          </w:p>
          <w:p>
            <w:pPr>
              <w:pStyle w:val="Normal"/>
              <w:widowControl w:val="false"/>
              <w:spacing w:lineRule="exact" w:line="240"/>
              <w:jc w:val="both"/>
              <w:rPr>
                <w:rFonts w:ascii="Arial" w:hAnsi="Arial" w:eastAsia="Arial" w:cs="Arial"/>
                <w:b/>
                <w:b/>
              </w:rPr>
            </w:pPr>
            <w:r>
              <w:rPr>
                <w:rFonts w:eastAsia="Arial" w:cs="Arial" w:ascii="Arial" w:hAnsi="Arial"/>
                <w:b/>
                <w:color w:val="000000"/>
              </w:rPr>
              <w:t>Instrutor: Jonas Geraldo</w:t>
            </w:r>
          </w:p>
          <w:p>
            <w:pPr>
              <w:pStyle w:val="Normal"/>
              <w:widowControl w:val="false"/>
              <w:spacing w:lineRule="exact" w:line="24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lineRule="exact" w:line="276"/>
              <w:ind w:left="1080" w:right="57" w:hanging="360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Aula Prática de reconhecimento e uso de extintores.</w:t>
            </w:r>
          </w:p>
          <w:p>
            <w:pPr>
              <w:pStyle w:val="ListParagraph"/>
              <w:widowControl w:val="false"/>
              <w:spacing w:lineRule="exact" w:line="276"/>
              <w:ind w:left="1080" w:right="57" w:hanging="0"/>
              <w:jc w:val="both"/>
              <w:rPr/>
            </w:pPr>
            <w:r>
              <w:rPr/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 w:before="110" w:after="0"/>
              <w:ind w:left="107" w:right="156" w:hanging="0"/>
              <w:jc w:val="center"/>
              <w:rPr/>
            </w:pPr>
            <w:r>
              <w:rPr>
                <w:rFonts w:eastAsia="Arial" w:cs="Arial" w:ascii="Arial" w:hAnsi="Arial"/>
                <w:color w:val="000000"/>
              </w:rPr>
              <w:t>Aula prática com extintores.</w:t>
            </w:r>
          </w:p>
        </w:tc>
      </w:tr>
      <w:tr>
        <w:trPr>
          <w:trHeight w:val="1155" w:hRule="atLeast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jc w:val="center"/>
              <w:rPr>
                <w:rFonts w:ascii="Arial" w:hAnsi="Arial" w:eastAsia="Arial" w:cs="Arial"/>
                <w:b/>
                <w:b/>
                <w:color w:val="000000"/>
                <w:sz w:val="24"/>
              </w:rPr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5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jc w:val="center"/>
              <w:rPr>
                <w:rFonts w:ascii="Arial" w:hAnsi="Arial" w:eastAsia="Arial" w:cs="Arial"/>
                <w:color w:val="000000"/>
                <w:sz w:val="24"/>
                <w:szCs w:val="28"/>
              </w:rPr>
            </w:pPr>
            <w:r>
              <w:rPr>
                <w:rFonts w:eastAsia="Arial" w:cs="Arial" w:ascii="Arial" w:hAnsi="Arial"/>
                <w:color w:val="000000"/>
                <w:sz w:val="24"/>
                <w:szCs w:val="28"/>
              </w:rPr>
              <w:t>11</w:t>
            </w:r>
            <w:r>
              <w:rPr>
                <w:rFonts w:eastAsia="Arial" w:cs="Arial" w:ascii="Arial" w:hAnsi="Arial"/>
                <w:color w:val="000000"/>
                <w:sz w:val="24"/>
                <w:szCs w:val="28"/>
              </w:rPr>
              <w:t>/11/26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13h  às 17h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/>
              <w:jc w:val="both"/>
              <w:rPr>
                <w:rFonts w:ascii="Arial" w:hAnsi="Arial" w:eastAsia="Arial" w:cs="Arial"/>
                <w:b/>
                <w:b/>
                <w:color w:val="000000"/>
              </w:rPr>
            </w:pPr>
            <w:r>
              <w:rPr>
                <w:rFonts w:eastAsia="Arial" w:cs="Arial" w:ascii="Arial" w:hAnsi="Arial"/>
                <w:b/>
                <w:color w:val="000000"/>
              </w:rPr>
            </w:r>
          </w:p>
          <w:p>
            <w:pPr>
              <w:pStyle w:val="Normal"/>
              <w:widowControl w:val="false"/>
              <w:spacing w:lineRule="exact" w:line="240"/>
              <w:jc w:val="both"/>
              <w:rPr>
                <w:rFonts w:ascii="Arial" w:hAnsi="Arial" w:eastAsia="Arial" w:cs="Arial"/>
                <w:b/>
                <w:b/>
              </w:rPr>
            </w:pPr>
            <w:r>
              <w:rPr>
                <w:rFonts w:eastAsia="Arial" w:cs="Arial" w:ascii="Arial" w:hAnsi="Arial"/>
                <w:b/>
                <w:color w:val="000000"/>
              </w:rPr>
              <w:t>Módulo 3 – Noções básicas de Primeiros Socorros com foco em Incêndio.</w:t>
            </w:r>
          </w:p>
          <w:p>
            <w:pPr>
              <w:pStyle w:val="Normal"/>
              <w:widowControl w:val="false"/>
              <w:spacing w:lineRule="exact" w:line="240"/>
              <w:jc w:val="both"/>
              <w:rPr>
                <w:rFonts w:ascii="Arial" w:hAnsi="Arial" w:eastAsia="Arial" w:cs="Arial"/>
                <w:b/>
                <w:b/>
              </w:rPr>
            </w:pPr>
            <w:r>
              <w:rPr>
                <w:rFonts w:eastAsia="Arial" w:cs="Arial" w:ascii="Arial" w:hAnsi="Arial"/>
                <w:b/>
                <w:color w:val="000000"/>
              </w:rPr>
              <w:t>Instrutor: Gabriel Andrade</w:t>
            </w:r>
          </w:p>
          <w:p>
            <w:pPr>
              <w:pStyle w:val="Normal"/>
              <w:widowControl w:val="false"/>
              <w:spacing w:lineRule="exact" w:line="24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  <w:p>
            <w:pPr>
              <w:pStyle w:val="Normal"/>
              <w:widowControl w:val="false"/>
              <w:spacing w:lineRule="exact" w:line="240"/>
              <w:ind w:left="567" w:hanging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color w:val="000000"/>
              </w:rPr>
              <w:t>1. Conceito de Primeiros Socorros</w:t>
            </w:r>
          </w:p>
          <w:p>
            <w:pPr>
              <w:pStyle w:val="Normal"/>
              <w:widowControl w:val="false"/>
              <w:spacing w:lineRule="exact" w:line="240"/>
              <w:ind w:left="567" w:hanging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color w:val="000000"/>
              </w:rPr>
              <w:t>2. Queimaduras;</w:t>
            </w:r>
          </w:p>
          <w:p>
            <w:pPr>
              <w:pStyle w:val="Normal"/>
              <w:widowControl w:val="false"/>
              <w:spacing w:lineRule="exact" w:line="240"/>
              <w:ind w:left="567" w:hanging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color w:val="000000"/>
              </w:rPr>
              <w:t>3. Cálculo da Superfície Corporal Queimada (SQC);</w:t>
            </w:r>
          </w:p>
          <w:p>
            <w:pPr>
              <w:pStyle w:val="Normal"/>
              <w:widowControl w:val="false"/>
              <w:spacing w:lineRule="exact" w:line="240"/>
              <w:ind w:left="567" w:hanging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color w:val="000000"/>
              </w:rPr>
              <w:t>4. Classificação das Queimaduras quanto à extensão e profundidade;</w:t>
            </w:r>
          </w:p>
          <w:p>
            <w:pPr>
              <w:pStyle w:val="Normal"/>
              <w:widowControl w:val="false"/>
              <w:spacing w:lineRule="exact" w:line="240"/>
              <w:ind w:left="567" w:hanging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color w:val="000000"/>
              </w:rPr>
              <w:t>5. Noções básicas de Primeiros Socorros em caso de Queimaduras;</w:t>
            </w:r>
          </w:p>
          <w:p>
            <w:pPr>
              <w:pStyle w:val="Normal"/>
              <w:widowControl w:val="false"/>
              <w:spacing w:lineRule="exact" w:line="240"/>
              <w:ind w:left="567" w:hanging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color w:val="000000"/>
              </w:rPr>
              <w:t>6. Inalação de fumaça e suas principais consequências;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exact" w:line="240" w:before="0" w:after="0"/>
              <w:ind w:left="567" w:right="0" w:firstLine="57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7. Medidas protetivas em caso de incêndio.</w:t>
            </w:r>
          </w:p>
          <w:p>
            <w:pPr>
              <w:pStyle w:val="Normal"/>
              <w:widowControl w:val="false"/>
              <w:spacing w:lineRule="exact" w:line="24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  <w:p>
            <w:pPr>
              <w:pStyle w:val="Normal"/>
              <w:widowControl w:val="false"/>
              <w:spacing w:lineRule="exact" w:line="240"/>
              <w:jc w:val="both"/>
              <w:rPr>
                <w:rFonts w:ascii="Arial" w:hAnsi="Arial" w:eastAsia="Arial" w:cs="Arial"/>
                <w:b/>
                <w:b/>
                <w:color w:val="000000"/>
              </w:rPr>
            </w:pPr>
            <w:r>
              <w:rPr>
                <w:rFonts w:eastAsia="Arial" w:cs="Arial" w:ascii="Arial" w:hAnsi="Arial"/>
                <w:b/>
                <w:color w:val="000000"/>
              </w:rPr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exact" w:line="240" w:before="110" w:after="0"/>
              <w:ind w:left="107" w:right="156" w:hanging="0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Apresentação de slides, material</w:t>
            </w:r>
            <w:r>
              <w:rPr>
                <w:rFonts w:eastAsia="Arial" w:cs="Arial" w:ascii="Arial" w:hAnsi="Arial"/>
                <w:color w:val="000000"/>
                <w:spacing w:val="-47"/>
              </w:rPr>
              <w:t xml:space="preserve"> </w:t>
            </w:r>
            <w:r>
              <w:rPr>
                <w:rFonts w:eastAsia="Arial" w:cs="Arial" w:ascii="Arial" w:hAnsi="Arial"/>
                <w:color w:val="000000"/>
              </w:rPr>
              <w:t>complementar (vídeos e textos).</w:t>
            </w:r>
          </w:p>
        </w:tc>
      </w:tr>
    </w:tbl>
    <w:p>
      <w:pPr>
        <w:pStyle w:val="Normal"/>
        <w:spacing w:lineRule="exact" w:line="240"/>
        <w:ind w:right="-710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p>
      <w:pPr>
        <w:pStyle w:val="Normal"/>
        <w:spacing w:lineRule="exact" w:line="276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tbl>
      <w:tblPr>
        <w:tblW w:w="1015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153"/>
      </w:tblGrid>
      <w:tr>
        <w:trPr>
          <w:trHeight w:val="240" w:hRule="atLeast"/>
        </w:trPr>
        <w:tc>
          <w:tcPr>
            <w:tcW w:w="10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FE2F3" w:val="clear"/>
          </w:tcPr>
          <w:p>
            <w:pPr>
              <w:pStyle w:val="Normal"/>
              <w:widowControl w:val="false"/>
              <w:spacing w:lineRule="exact" w:line="240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Referências Bibliográficas</w:t>
            </w:r>
          </w:p>
        </w:tc>
      </w:tr>
    </w:tbl>
    <w:p>
      <w:pPr>
        <w:pStyle w:val="Normal"/>
        <w:spacing w:lineRule="exact" w:line="360"/>
        <w:ind w:left="-567" w:right="-426" w:hanging="0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  <w:tab w:val="left" w:pos="720" w:leader="none"/>
        </w:tabs>
        <w:spacing w:lineRule="exact" w:line="360" w:before="90" w:after="0"/>
        <w:ind w:left="-454" w:right="-397" w:hanging="0"/>
        <w:jc w:val="both"/>
        <w:rPr>
          <w:rFonts w:ascii="Arial" w:hAnsi="Arial" w:eastAsia="Arial" w:cs="Arial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AMBIENTE SST. Riscos de acidentes. Saiba quais são e como identificá-los. Disponível em: </w:t>
      </w:r>
      <w:hyperlink r:id="rId2">
        <w:r>
          <w:rPr>
            <w:rFonts w:eastAsia="Times New Roman" w:cs="Times New Roman" w:ascii="Times New Roman" w:hAnsi="Times New Roman"/>
            <w:color w:val="0000FF"/>
            <w:sz w:val="24"/>
            <w:u w:val="single"/>
          </w:rPr>
          <w:t>http://ambientesst.com.br/riscos-de-acidentes/</w:t>
        </w:r>
      </w:hyperlink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  <w:tab w:val="left" w:pos="720" w:leader="none"/>
        </w:tabs>
        <w:spacing w:lineRule="exact" w:line="360" w:before="90" w:after="0"/>
        <w:ind w:left="-454" w:right="-397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Anuário Estatístico de Acidentes de Origem Elétrica 2020 - Ano Base 2019 . Abracopel 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  <w:tab w:val="left" w:pos="720" w:leader="none"/>
        </w:tabs>
        <w:spacing w:lineRule="exact" w:line="360" w:before="90" w:after="0"/>
        <w:ind w:left="-454" w:right="-397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BRASIL, Segurança e medicina do trabalho. Coleção Manuais da Legislação. (52 ed.), São Paulo Brasil, Ed. Atlas, 2003.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  <w:tab w:val="left" w:pos="720" w:leader="none"/>
        </w:tabs>
        <w:spacing w:lineRule="exact" w:line="360" w:before="90" w:after="0"/>
        <w:ind w:left="-454" w:right="-397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BRASIL. Manual de perícia oficial em saúde do servidor público federal. 3.ed. / Ministério do Planejamento, Desenvolvimento e Gestão, Secretaria de Gestão de Pessoas e Relações de Trabalho no Serviço Público. Brasília: MP, 2017. 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  <w:tab w:val="left" w:pos="720" w:leader="none"/>
        </w:tabs>
        <w:spacing w:lineRule="exact" w:line="360" w:before="90" w:after="0"/>
        <w:ind w:left="-454" w:right="-397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BRASIL. Decreto 11.255 de 9 de nov. de 2022. Altera o Decreto nº 7.003, de 9 de novembro de 2009, que regulamenta a licença para tratamento de saúde, de que tratam os art. 202 a art. 205 da Lei nº 8.112, de 11 de dezembro de 1990.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  <w:tab w:val="left" w:pos="720" w:leader="none"/>
        </w:tabs>
        <w:spacing w:lineRule="exact" w:line="360" w:before="90" w:after="0"/>
        <w:ind w:left="-454" w:right="-397" w:hanging="0"/>
        <w:jc w:val="both"/>
        <w:rPr>
          <w:rFonts w:ascii="Arial" w:hAnsi="Arial" w:eastAsia="Arial" w:cs="Arial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CANETTI, .et.al MANUAL BÁSICO DE SOCORRO DE EMERGÊNCIA. 2 ed. editora: Atheneu,2007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  <w:tab w:val="left" w:pos="720" w:leader="none"/>
        </w:tabs>
        <w:spacing w:lineRule="exact" w:line="360" w:before="90" w:after="0"/>
        <w:ind w:left="-454" w:right="-397" w:hanging="0"/>
        <w:jc w:val="both"/>
        <w:rPr>
          <w:rFonts w:ascii="Arial" w:hAnsi="Arial" w:eastAsia="Arial" w:cs="Arial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Deliberação nº 18, de 29 de abril de 2015. Política de Segurança e Saúde no Trabalho da UFRRJ. Disponível em: https://bit.ly/2HOpekq 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720" w:leader="none"/>
        </w:tabs>
        <w:spacing w:lineRule="exact" w:line="360" w:before="90" w:after="0"/>
        <w:ind w:hanging="454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FUNDAÇÃO OSWALDO CRUZ.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Manual de Primeiros Socorros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.  Disponível em: </w:t>
      </w:r>
      <w:hyperlink r:id="rId3">
        <w:r>
          <w:rPr>
            <w:rFonts w:eastAsia="Times New Roman" w:cs="Times New Roman" w:ascii="Times New Roman" w:hAnsi="Times New Roman"/>
            <w:color w:val="0000FF"/>
            <w:sz w:val="24"/>
            <w:u w:val="single"/>
          </w:rPr>
          <w:t>http://www.fiocruz.br/biosseguranca/Bis/manuais/biosseguranca/manualdeprimeirossocorros.pdf</w:t>
        </w:r>
      </w:hyperlink>
      <w:r>
        <w:rPr>
          <w:rFonts w:eastAsia="Times New Roman" w:cs="Times New Roman" w:ascii="Times New Roman" w:hAnsi="Times New Roman"/>
          <w:color w:val="000000"/>
          <w:sz w:val="24"/>
        </w:rPr>
        <w:t>. Acesso em: 27 de nov.2021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  <w:tab w:val="left" w:pos="720" w:leader="none"/>
        </w:tabs>
        <w:spacing w:lineRule="exact" w:line="360" w:before="90" w:after="0"/>
        <w:ind w:left="-454" w:right="-397" w:hanging="0"/>
        <w:jc w:val="both"/>
        <w:rPr>
          <w:rFonts w:ascii="Arial" w:hAnsi="Arial" w:eastAsia="Arial" w:cs="Arial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FUNDAÇÃO OSWALDO CRUZ. Manual de Primeiros Socorros. Disponível em: http://www.fiocruz.br/biosseguranca/Bis/manuais/biosseguranca/manualdeprimeirossocorros.pdf. 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720" w:leader="none"/>
        </w:tabs>
        <w:spacing w:lineRule="exact" w:line="360" w:before="90" w:after="0"/>
        <w:ind w:hanging="454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Mattos, Ubirajara. et al. 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HIGIENE E SEGURANÇA DO TRABALHO</w:t>
      </w:r>
      <w:r>
        <w:rPr>
          <w:rFonts w:eastAsia="Times New Roman" w:cs="Times New Roman" w:ascii="Times New Roman" w:hAnsi="Times New Roman"/>
          <w:color w:val="000000"/>
          <w:sz w:val="24"/>
        </w:rPr>
        <w:t>. 8. ed. Rio de Janeiro, 2011. 420 p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  <w:tab w:val="left" w:pos="720" w:leader="none"/>
        </w:tabs>
        <w:spacing w:lineRule="exact" w:line="360" w:before="90" w:after="0"/>
        <w:ind w:left="-454" w:right="-397" w:hanging="0"/>
        <w:jc w:val="both"/>
        <w:rPr>
          <w:rFonts w:ascii="Arial" w:hAnsi="Arial" w:eastAsia="Arial" w:cs="Arial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MATTOS, Ubirajara. et al. HIGIENE E SEGURANÇA DO TRABALHO. 8. ed. Rio de Janeiro, 2011. 420 p 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  <w:tab w:val="left" w:pos="720" w:leader="none"/>
        </w:tabs>
        <w:spacing w:lineRule="exact" w:line="360" w:before="90" w:after="0"/>
        <w:ind w:left="-454" w:right="-397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NETTO, André Lopes. Contribuições para a Construção da Engenharia de Segurança no Brasil. CREA-RJ; Rio de Janeiro, 2004.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  <w:tab w:val="left" w:pos="720" w:leader="none"/>
        </w:tabs>
        <w:spacing w:lineRule="exact" w:line="360" w:before="90" w:after="0"/>
        <w:ind w:left="-454" w:right="-397" w:hanging="0"/>
        <w:jc w:val="both"/>
        <w:rPr>
          <w:rFonts w:ascii="Arial" w:hAnsi="Arial" w:eastAsia="Arial" w:cs="Arial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OSHAS (Occupational Health ans Safety Assessments Series) 18001 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720" w:leader="none"/>
        </w:tabs>
        <w:spacing w:lineRule="exact" w:line="360" w:before="90" w:after="0"/>
        <w:ind w:hanging="454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Revista Super Interessante. O que define o grau das queimaduras? Disponível em: </w:t>
      </w:r>
      <w:hyperlink r:id="rId4">
        <w:r>
          <w:rPr>
            <w:rFonts w:eastAsia="Times New Roman" w:cs="Times New Roman" w:ascii="Times New Roman" w:hAnsi="Times New Roman"/>
            <w:color w:val="0000FF"/>
            <w:sz w:val="24"/>
            <w:u w:val="single"/>
          </w:rPr>
          <w:t>https://super.abril.com.br/mundo-estranho/o-que-define-o-grau-das-queimaduras/</w:t>
        </w:r>
      </w:hyperlink>
      <w:r>
        <w:rPr>
          <w:rFonts w:eastAsia="Times New Roman" w:cs="Times New Roman" w:ascii="Times New Roman" w:hAnsi="Times New Roman"/>
          <w:color w:val="000000"/>
          <w:sz w:val="24"/>
        </w:rPr>
        <w:t>. Acesso em : 29 de nov 2021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  <w:tab w:val="left" w:pos="720" w:leader="none"/>
        </w:tabs>
        <w:spacing w:lineRule="exact" w:line="360" w:before="90" w:after="0"/>
        <w:ind w:left="-454" w:right="-397" w:hanging="0"/>
        <w:jc w:val="both"/>
        <w:rPr>
          <w:rFonts w:ascii="Arial" w:hAnsi="Arial" w:eastAsia="Arial" w:cs="Arial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Risco X Perigo – Há diferença entre eles? Disponível em: http://ambientesst.com.br/risco-xperigo/ 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720" w:leader="none"/>
        </w:tabs>
        <w:spacing w:lineRule="exact" w:line="360" w:before="90" w:after="0"/>
        <w:ind w:hanging="454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Site Hospital Albert Einstein. Queimaduras. Disponível em:  </w:t>
      </w:r>
      <w:r>
        <w:rPr>
          <w:rFonts w:eastAsia="Times New Roman" w:cs="Times New Roman" w:ascii="Times New Roman" w:hAnsi="Times New Roman"/>
          <w:color w:val="0000FF"/>
          <w:sz w:val="24"/>
          <w:u w:val="single"/>
        </w:rPr>
        <w:t xml:space="preserve">https://www.einstein.br/doencas-sintomas/queimaduras#:~:text=Regra%20dos%20nove%3A%20%C3%A9%20atribu%C3%ADdo,tronco%20costas%20%2D%2018%25 </w:t>
      </w:r>
      <w:r>
        <w:rPr>
          <w:rFonts w:eastAsia="Times New Roman" w:cs="Times New Roman" w:ascii="Times New Roman" w:hAnsi="Times New Roman"/>
          <w:color w:val="000000"/>
          <w:sz w:val="24"/>
        </w:rPr>
        <w:t>Acesso em: 29 de nov 2021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  <w:tab w:val="left" w:pos="720" w:leader="none"/>
        </w:tabs>
        <w:spacing w:lineRule="exact" w:line="360" w:before="90" w:after="0"/>
        <w:ind w:left="-454" w:right="-397" w:hanging="0"/>
        <w:jc w:val="both"/>
        <w:rPr>
          <w:rFonts w:ascii="Arial" w:hAnsi="Arial" w:eastAsia="Arial" w:cs="Arial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Site Tua Saúde. Reis, Manuel. 5 principais riscos de inalar fumaça de incêndio . Disponível em: </w:t>
      </w:r>
      <w:r>
        <w:rPr>
          <w:rFonts w:eastAsia="Times New Roman" w:cs="Times New Roman" w:ascii="Times New Roman" w:hAnsi="Times New Roman"/>
          <w:color w:val="0000FF"/>
          <w:sz w:val="24"/>
          <w:u w:val="single"/>
        </w:rPr>
        <w:t xml:space="preserve">https://www.tuasaude.com/perigos-de-inalar-fumaca-de-incendio/. </w:t>
      </w:r>
      <w:r>
        <w:rPr>
          <w:rFonts w:eastAsia="Times New Roman" w:cs="Times New Roman" w:ascii="Times New Roman" w:hAnsi="Times New Roman"/>
          <w:color w:val="000000"/>
          <w:sz w:val="24"/>
        </w:rPr>
        <w:t>Acesso em : 29 de nov 2021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720" w:leader="none"/>
        </w:tabs>
        <w:spacing w:lineRule="exact" w:line="360" w:before="90" w:after="0"/>
        <w:ind w:hanging="51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SOCIEDADE BRASILEIRA DE CARDIOLOGIA. </w:t>
      </w:r>
      <w:r>
        <w:rPr>
          <w:rFonts w:eastAsia="Times New Roman" w:cs="Times New Roman" w:ascii="Times New Roman" w:hAnsi="Times New Roman"/>
          <w:b/>
          <w:i/>
          <w:color w:val="000000"/>
          <w:sz w:val="24"/>
        </w:rPr>
        <w:t xml:space="preserve">Atualização da Diretriz de Ressuscitação Cardiopulmonar e Cuidados Cardiovasculares de Emergência da Sociedade Brasileira de Cardiologia – 2019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Disponível em: &lt; </w:t>
      </w:r>
      <w:hyperlink r:id="rId5">
        <w:r>
          <w:rPr>
            <w:rFonts w:eastAsia="Times New Roman" w:cs="Times New Roman" w:ascii="Times New Roman" w:hAnsi="Times New Roman"/>
            <w:color w:val="0000FF"/>
            <w:sz w:val="24"/>
            <w:u w:val="single"/>
          </w:rPr>
          <w:t>http://publicacoes.cardiol.br/portal/abc/portugues/2019/v11303/atualizacao-da-diretriz-de-ressuscitacao-cardiopulmonar-e-cuidados-cardiovasculares-de-emergencia-da-sociedade-brasileira-de-cardiologia-2019.asp</w:t>
        </w:r>
      </w:hyperlink>
      <w:r>
        <w:rPr>
          <w:rFonts w:eastAsia="Times New Roman" w:cs="Times New Roman" w:ascii="Times New Roman" w:hAnsi="Times New Roman"/>
          <w:color w:val="000000"/>
          <w:sz w:val="24"/>
        </w:rPr>
        <w:t>&gt;. Acesso em : 30 de nov.2021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  <w:tab w:val="left" w:pos="720" w:leader="none"/>
        </w:tabs>
        <w:spacing w:lineRule="exact" w:line="360" w:before="90" w:after="0"/>
        <w:ind w:left="-454" w:right="-397" w:hanging="0"/>
        <w:jc w:val="both"/>
        <w:rPr>
          <w:rFonts w:ascii="Arial" w:hAnsi="Arial" w:eastAsia="Arial" w:cs="Arial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SOCIEDADE BRASILEIRA DE CARDIOLOGIA. Atualização da Diretriz de Ressuscitação Cardiopulmonar e Cuidados Cardiovasculares de Emergência da Sociedade Brasileira de Cardiologia. 2019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720" w:leader="none"/>
        </w:tabs>
        <w:spacing w:lineRule="exact" w:line="360" w:before="90" w:after="0"/>
        <w:ind w:hanging="454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UNIVERSIDADE FEDERAL DE MINAS GERAIS.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NOÇÕES DE PRIMEIROS SOCORROS EM AMBIENTES DE SAÚDE.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Disponível em : </w:t>
      </w:r>
      <w:hyperlink r:id="rId6">
        <w:r>
          <w:rPr>
            <w:rFonts w:eastAsia="Times New Roman" w:cs="Times New Roman" w:ascii="Times New Roman" w:hAnsi="Times New Roman"/>
            <w:color w:val="0000FF"/>
            <w:sz w:val="24"/>
            <w:u w:val="single"/>
          </w:rPr>
          <w:t>https://www.ufmg.br/prorh/wp-content/uploads/2018/02/Apostila-de-Primeiros-Socorros-DAST.pdf</w:t>
        </w:r>
      </w:hyperlink>
      <w:r>
        <w:rPr>
          <w:rFonts w:eastAsia="Times New Roman" w:cs="Times New Roman" w:ascii="Times New Roman" w:hAnsi="Times New Roman"/>
          <w:color w:val="000000"/>
          <w:sz w:val="24"/>
        </w:rPr>
        <w:t>. Acesso em: 27 de nov.2021</w:t>
      </w:r>
    </w:p>
    <w:p>
      <w:pPr>
        <w:pStyle w:val="Normal"/>
        <w:spacing w:lineRule="exact" w:line="360" w:before="90" w:after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exact" w:line="276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tbl>
      <w:tblPr>
        <w:tblW w:w="1015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153"/>
      </w:tblGrid>
      <w:tr>
        <w:trPr>
          <w:trHeight w:val="240" w:hRule="atLeast"/>
        </w:trPr>
        <w:tc>
          <w:tcPr>
            <w:tcW w:w="10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FE2F3" w:val="clear"/>
          </w:tcPr>
          <w:p>
            <w:pPr>
              <w:pStyle w:val="Normal"/>
              <w:widowControl w:val="false"/>
              <w:spacing w:lineRule="exact" w:line="240"/>
              <w:rPr/>
            </w:pPr>
            <w:r>
              <w:rPr>
                <w:rFonts w:eastAsia="Arial" w:cs="Arial" w:ascii="Arial" w:hAnsi="Arial"/>
                <w:b/>
                <w:color w:val="000000"/>
                <w:sz w:val="24"/>
              </w:rPr>
              <w:t>Currículo resumido do(s) instrutor(es), e-mail e link do lattes</w:t>
            </w:r>
          </w:p>
        </w:tc>
      </w:tr>
    </w:tbl>
    <w:p>
      <w:pPr>
        <w:pStyle w:val="Normal"/>
        <w:spacing w:lineRule="exact" w:line="360"/>
        <w:ind w:left="-567" w:right="-426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p>
      <w:pPr>
        <w:pStyle w:val="Normal"/>
        <w:spacing w:lineRule="exact" w:line="360"/>
        <w:ind w:left="-567" w:right="-426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b/>
          <w:color w:val="000000"/>
          <w:sz w:val="24"/>
        </w:rPr>
        <w:t>Cláudio da Silva Santos</w:t>
      </w:r>
      <w:r>
        <w:rPr>
          <w:rFonts w:eastAsia="Arial" w:cs="Arial" w:ascii="Arial" w:hAnsi="Arial"/>
          <w:color w:val="000000"/>
          <w:sz w:val="24"/>
        </w:rPr>
        <w:t xml:space="preserve"> - Técnico em Segurança do Trabalho, atua no eixo de Vigilância em Saúde e Segurança do Trabalho da CASST/DASDP/PROGEP/UFRRJ. Com formação na área Técnica em Segurança do Trabalho, Graduado em Logística e Pós-graduado em Gestão de Pessoas. </w:t>
      </w:r>
    </w:p>
    <w:p>
      <w:pPr>
        <w:pStyle w:val="Normal"/>
        <w:spacing w:lineRule="exact" w:line="360"/>
        <w:ind w:left="-567" w:right="-426" w:hanging="0"/>
        <w:jc w:val="both"/>
        <w:rPr>
          <w:rFonts w:ascii="Arial" w:hAnsi="Arial" w:eastAsia="Arial" w:cs="Arial"/>
          <w:b/>
          <w:b/>
          <w:color w:val="000000"/>
          <w:sz w:val="24"/>
        </w:rPr>
      </w:pPr>
      <w:r>
        <w:rPr>
          <w:rFonts w:eastAsia="Arial" w:cs="Arial" w:ascii="Arial" w:hAnsi="Arial"/>
          <w:b/>
          <w:color w:val="000000"/>
          <w:sz w:val="24"/>
        </w:rPr>
      </w:r>
    </w:p>
    <w:p>
      <w:pPr>
        <w:pStyle w:val="Normal"/>
        <w:spacing w:lineRule="exact" w:line="360"/>
        <w:ind w:left="-567" w:right="-426" w:hanging="0"/>
        <w:jc w:val="both"/>
        <w:rPr>
          <w:rFonts w:ascii="Arial" w:hAnsi="Arial" w:eastAsia="Arial" w:cs="Arial"/>
          <w:color w:val="000000"/>
          <w:sz w:val="24"/>
        </w:rPr>
      </w:pPr>
      <w:r>
        <w:rPr>
          <w:rFonts w:eastAsia="Arial" w:cs="Arial" w:ascii="Arial" w:hAnsi="Arial"/>
          <w:b/>
          <w:color w:val="000000"/>
          <w:sz w:val="24"/>
        </w:rPr>
        <w:t>Fabiano de Mattos Gama</w:t>
      </w:r>
      <w:r>
        <w:rPr>
          <w:rFonts w:eastAsia="Arial" w:cs="Arial" w:ascii="Arial" w:hAnsi="Arial"/>
          <w:color w:val="000000"/>
          <w:sz w:val="24"/>
        </w:rPr>
        <w:t xml:space="preserve"> - Técnico em Segurança do Trabalho lotado, atua no eixo de Vigilância em Saúde e Segurança do Trabalho da CASST/DASDP/PROGEP/UFRRJ. Graduado em Gestão Ambiental e Pós-graduado em Segurança do Trabalho. </w:t>
      </w:r>
    </w:p>
    <w:p>
      <w:pPr>
        <w:pStyle w:val="Normal"/>
        <w:spacing w:lineRule="exact" w:line="360"/>
        <w:ind w:left="-567" w:right="-426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p>
      <w:pPr>
        <w:pStyle w:val="Normal"/>
        <w:spacing w:lineRule="exact" w:line="360"/>
        <w:ind w:left="-567" w:right="-426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b/>
          <w:color w:val="000000"/>
          <w:sz w:val="24"/>
        </w:rPr>
        <w:t>Gabriel Freitas de Andrade</w:t>
      </w:r>
      <w:r>
        <w:rPr>
          <w:rFonts w:eastAsia="Arial" w:cs="Arial" w:ascii="Arial" w:hAnsi="Arial"/>
          <w:color w:val="000000"/>
          <w:sz w:val="24"/>
        </w:rPr>
        <w:t xml:space="preserve"> - Técnico em Segurança do Trabalho, atua no eixo de Vigilância em Saúde e Segurança do Trabalho da CASST/DASDP/PROGEP/UFRRJ. Formação técnica em Informática. Graduado em Engenharia de Produção pela UERJ e Pós- Graduado em Engenharia de Segurança do Trabalho pela Estácio de Sá.</w:t>
      </w:r>
    </w:p>
    <w:p>
      <w:pPr>
        <w:pStyle w:val="Normal"/>
        <w:spacing w:lineRule="exact" w:line="360"/>
        <w:ind w:left="-567" w:right="-426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p>
      <w:pPr>
        <w:pStyle w:val="Normal"/>
        <w:spacing w:lineRule="exact" w:line="360"/>
        <w:ind w:left="-567" w:right="-426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b/>
          <w:color w:val="000000"/>
          <w:sz w:val="24"/>
        </w:rPr>
        <w:t>Jonas Teixeira Geraldo</w:t>
      </w:r>
      <w:r>
        <w:rPr>
          <w:rFonts w:eastAsia="Arial" w:cs="Arial" w:ascii="Arial" w:hAnsi="Arial"/>
          <w:color w:val="000000"/>
          <w:sz w:val="24"/>
        </w:rPr>
        <w:t xml:space="preserve"> - Técnico em Segurança do Trabalho e Meio Ambiente, atua no eixo de Vigilância em Saúde e Segurança do Trabalho da CASST/DASDP/PROGEP/UFRRJ. Graduado em Logística e Pós-Graduado em Saúde e Segurança do Trabalho.</w:t>
      </w:r>
    </w:p>
    <w:p>
      <w:pPr>
        <w:pStyle w:val="Normal"/>
        <w:spacing w:lineRule="exact" w:line="360"/>
        <w:ind w:left="-567" w:right="-426" w:hanging="0"/>
        <w:jc w:val="both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</w:r>
    </w:p>
    <w:p>
      <w:pPr>
        <w:pStyle w:val="Normal"/>
        <w:spacing w:lineRule="exact" w:line="360"/>
        <w:ind w:left="-567" w:right="-426" w:hanging="0"/>
        <w:jc w:val="both"/>
        <w:rPr>
          <w:rFonts w:ascii="Arial" w:hAnsi="Arial" w:eastAsia="Arial" w:cs="Arial"/>
          <w:b/>
          <w:b/>
          <w:sz w:val="24"/>
        </w:rPr>
      </w:pPr>
      <w:r>
        <w:rPr>
          <w:rFonts w:eastAsia="Arial" w:cs="Arial" w:ascii="Arial" w:hAnsi="Arial"/>
          <w:b/>
          <w:color w:val="000000"/>
          <w:sz w:val="24"/>
        </w:rPr>
        <w:t xml:space="preserve">Rafael de Oliveira Silva </w:t>
      </w:r>
      <w:r>
        <w:rPr>
          <w:rFonts w:eastAsia="Arial" w:cs="Arial" w:ascii="Arial" w:hAnsi="Arial"/>
          <w:color w:val="000000"/>
          <w:sz w:val="24"/>
        </w:rPr>
        <w:t xml:space="preserve">- Auxiliar em Administração da Coordenação de Atenção à Saúde e Segurança do Trabalho - CASST. Mestre e Graduado em História pela UFRRJ. 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auto"/>
      <w:kern w:val="2"/>
      <w:sz w:val="22"/>
      <w:szCs w:val="24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 w:customStyle="1">
    <w:name w:val="Link da Internet"/>
    <w:rPr>
      <w:color w:val="000080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Ttulododocumento">
    <w:name w:val="Title"/>
    <w:basedOn w:val="Normal"/>
    <w:next w:val="Corpodotexto"/>
    <w:uiPriority w:val="10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styleId="Contedodatabela" w:customStyle="1">
    <w:name w:val="Conteúdo da tabela"/>
    <w:basedOn w:val="Normal"/>
    <w:qFormat/>
    <w:pPr>
      <w:suppressLineNumbers/>
    </w:pPr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23664d"/>
    <w:pPr>
      <w:spacing w:before="0" w:after="0"/>
      <w:ind w:left="720" w:hanging="0"/>
      <w:contextualSpacing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ambientesst.com.br/riscos-de-acidentes/" TargetMode="External"/><Relationship Id="rId3" Type="http://schemas.openxmlformats.org/officeDocument/2006/relationships/hyperlink" Target="http://www.fiocruz.br/biosseguranca/Bis/manuais/biosseguranca/manualdeprimeirossocorros.pdf" TargetMode="External"/><Relationship Id="rId4" Type="http://schemas.openxmlformats.org/officeDocument/2006/relationships/hyperlink" Target="https://super.abril.com.br/mundo-estranho/o-que-define-o-grau-das-queimaduras/" TargetMode="External"/><Relationship Id="rId5" Type="http://schemas.openxmlformats.org/officeDocument/2006/relationships/hyperlink" Target="http://publicacoes.cardiol.br/portal/abc/portugues/2019/v11303/atualizacao-da-diretriz-de-ressuscitacao-cardiopulmonar-e-cuidados-cardiovasculares-de-emergencia-da-sociedade-brasileira-de-cardiologia-2019.asp" TargetMode="External"/><Relationship Id="rId6" Type="http://schemas.openxmlformats.org/officeDocument/2006/relationships/hyperlink" Target="https://www.ufmg.br/prorh/wp-content/uploads/2018/02/Apostila-de-Primeiros-Socorros-DAST.pdf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Application>LibreOffice/7.3.0.3$Windows_x86 LibreOffice_project/0f246aa12d0eee4a0f7adcefbf7c878fc2238db3</Application>
  <AppVersion>15.0000</AppVersion>
  <Pages>6</Pages>
  <Words>1479</Words>
  <Characters>8944</Characters>
  <CharactersWithSpaces>10296</CharactersWithSpaces>
  <Paragraphs>128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2025-04-28T15:24:00Z</dcterms:created>
  <dc:creator>Gabriel F Andrade</dc:creator>
  <dc:description/>
  <dc:language>pt-BR</dc:language>
  <cp:lastModifiedBy/>
  <dcterms:modified xsi:type="dcterms:W3CDTF">2026-09-23T14:28:31Z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