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 xml:space="preserve">MINUTA DE ACORDO DE COOPERAÇÃO INTERNACIONAL PARA CIÊNCIA, TECNOLOGIA E </w:t>
      </w:r>
      <w:proofErr w:type="gramStart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INOVAÇÃO</w:t>
      </w:r>
      <w:proofErr w:type="gramEnd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</w:p>
    <w:p w:rsidR="00A12161" w:rsidRPr="00A12161" w:rsidRDefault="00A12161" w:rsidP="00A121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>NOTAS EXPLICATIVAS:</w:t>
      </w:r>
    </w:p>
    <w:p w:rsidR="00A12161" w:rsidRPr="00A12161" w:rsidRDefault="00A12161" w:rsidP="00A121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PT"/>
        </w:rPr>
        <w:t>ESTA MINUTA DEVE SER UTILIZADA PARA ACORDOS DE COOPERAÇAÕ INTERNACIONAL PARA CT&amp;I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. </w:t>
      </w:r>
    </w:p>
    <w:p w:rsidR="00A12161" w:rsidRPr="00A12161" w:rsidRDefault="00A12161" w:rsidP="00A121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Alguns itens receberão notas explicativas destacadas para compreensão do agente ou setor responsável pela elaboração das minutas, que deverão ser devidamente suprimidas quando da finalização do documento. </w:t>
      </w:r>
    </w:p>
    <w:p w:rsidR="00A12161" w:rsidRPr="00A12161" w:rsidRDefault="00A12161" w:rsidP="00A121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No modelo a seguir, deve-se observar que há duas cores:</w:t>
      </w:r>
    </w:p>
    <w:p w:rsidR="00A12161" w:rsidRPr="00A12161" w:rsidRDefault="00A12161" w:rsidP="00A121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- os itens escritos na cor </w:t>
      </w:r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PRETA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 devem ser mantidos, podendo eventualmente </w:t>
      </w:r>
      <w:proofErr w:type="gramStart"/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serem</w:t>
      </w:r>
      <w:proofErr w:type="gramEnd"/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 alterados ou excluídos diante do caso concreto, e;</w:t>
      </w:r>
    </w:p>
    <w:p w:rsidR="00A12161" w:rsidRPr="00A12161" w:rsidRDefault="00A12161" w:rsidP="00A121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-</w:t>
      </w:r>
      <w:proofErr w:type="gramStart"/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  </w:t>
      </w:r>
      <w:proofErr w:type="gramEnd"/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aqueles redigidos na cor </w:t>
      </w: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AZUL são textos que dependem de situações específicas ou se trata de textos sugestivos. Cabe a cada entidade verificar o que deve ser escrito nestes itens e decidir se eles serão ou não mantidos na redação final do Acordo. 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MODELO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ACORDO DE COOPERAÇÃO INTERNACIONAL PARA CIÊNCIA, TECNOLOGIA E </w:t>
      </w:r>
      <w:proofErr w:type="gramStart"/>
      <w:r w:rsidRPr="00A12161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INOVAÇÃO</w:t>
      </w:r>
      <w:proofErr w:type="gramEnd"/>
    </w:p>
    <w:p w:rsidR="00A12161" w:rsidRPr="00A12161" w:rsidRDefault="00A12161" w:rsidP="00A1216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O ...</w:t>
      </w:r>
      <w:proofErr w:type="gramEnd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....................., autarquia/fundação pública instituída pela Lei nº .........................., regulamentada pelo Decreto  nº .........................., da República Federativa do Brasil, sediado em ........................, ..................................................CEP ........................, registrado no CNPJ/MF sob o número ..................................., neste ato representado por ............................, com domicílio na cidade de ............................, no uso das atribuições conferidas pela Portaria da ..............................................................., publicada no Diário Oficial da União – DOU, Seção ........., em ................................................, e  (QUALIFICAR A INSTITUIÇÃO E SEU REPRESENTANTE LEGAL) (seguir padrão acima) denominados doravante PARTICIPES, visando fortalecer essa cooperação com base em benefícios mútuos, resolvem celebrar o presente Acordo, em conformidade com as normas legais vigentes no Marco Legal de Ciência, Tecnologia e Inovação (Emenda Constitucional nº 85/15, Lei nº 10.973/2004, Lei nº 13.243/2016, Decreto nº 9.283/2018) e eventuais legislações aplicáveis, mediante as seguintes cláusulas e condições: 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0" w:name="_heading=h.2981zbj" w:colFirst="0" w:colLast="0"/>
      <w:bookmarkEnd w:id="0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lastRenderedPageBreak/>
        <w:t>CLÁUSULA PRIMEIRA - DO OBJETO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PT"/>
        </w:rPr>
        <w:t>(TEXTO SUGERIDO - ESPECIFICAR DE FORMA SINTÉTICA CONFORME ACORDADO ENTRE OS PARTICIPES</w:t>
      </w: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)  </w:t>
      </w: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</w:t>
      </w:r>
      <w:r w:rsidRPr="00A12161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1.1</w:t>
      </w: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Pelo presente </w:t>
      </w:r>
      <w:proofErr w:type="gramStart"/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Acordo</w:t>
      </w:r>
      <w:proofErr w:type="gramEnd"/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de Cooperação, os PARTÍCIPES se comprometem a desenvolver e estreitar sua participação nos campos da ciência, tecnologia e inovação de acordo com seus próprios programas e com aqueles aprovados conjuntamente visando benefícios mútuos, participação ativa de cada envolvido e o alcance de objetivos comuns. 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1.2</w:t>
      </w:r>
      <w:proofErr w:type="gramStart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 xml:space="preserve">  </w:t>
      </w:r>
      <w:proofErr w:type="gramEnd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 A</w:t>
      </w: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cooperação será realizada por meio do desenvolvimento de atividades e projetos na área da ciência, tecnologia e/ou inovação para obtenção de produtos, processos e serviços inovadores e a transferência e a difusão de tecnologia, previamente definidos pelos PARTÍCIPES, obedecidas as suas normativas internas, conforme consta expressamente no Plano de Trabalho, anexo, parte integrante do presente acordo. </w:t>
      </w:r>
    </w:p>
    <w:p w:rsidR="00A12161" w:rsidRPr="00A12161" w:rsidRDefault="00A12161" w:rsidP="00A12161">
      <w:pPr>
        <w:widowControl w:val="0"/>
        <w:autoSpaceDE w:val="0"/>
        <w:autoSpaceDN w:val="0"/>
        <w:spacing w:after="120" w:line="240" w:lineRule="auto"/>
        <w:ind w:right="-705" w:firstLine="108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hanging="227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1" w:name="_heading=h.odc9jc" w:colFirst="0" w:colLast="0"/>
      <w:bookmarkEnd w:id="1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CLÁUSULA SEGUNDA – DO PLANO DE TRABALHO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>NOTA EXPLICATIVA:</w:t>
      </w:r>
      <w:r w:rsidRPr="00A12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  <w:t xml:space="preserve"> 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para cada cooperação deverá haver um único plano de trabalho.</w:t>
      </w:r>
    </w:p>
    <w:p w:rsidR="00A12161" w:rsidRPr="00A12161" w:rsidRDefault="00A12161" w:rsidP="00A121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2.1. O Plano de Trabalho define os objetivos a serem atingidos com o presente Acordo de Cooperação, apresenta o planejamento dos trabalhos que serão desenvolvidos, </w:t>
      </w: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detalha</w:t>
      </w:r>
      <w:proofErr w:type="gramEnd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 as atividades e as atribuições de cada um dos PARTÍCIPES, a alocação de recursos humanos, materiais e financeiros, bem como o cronograma físico-financeiro do projeto, a fim de possibilitar a fiel consecução do objeto desta cooperação, estabelecendo objetivos, metas e indicadores.</w:t>
      </w:r>
    </w:p>
    <w:p w:rsidR="00A12161" w:rsidRPr="00A12161" w:rsidRDefault="00A12161" w:rsidP="00A121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2.2. Respeitadas as previsões contidas na legislação em vigor, a ICT/Agência de Fomento executará as atividades relacionadas </w:t>
      </w: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a</w:t>
      </w:r>
      <w:proofErr w:type="gramEnd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 ciência, tecnologia e inovação, conforme o Plano de Trabalho, sob as condições aqui acordadas, sendo parte integrante e indissociável deste Acordo.</w:t>
      </w:r>
    </w:p>
    <w:p w:rsidR="00A12161" w:rsidRPr="00A12161" w:rsidRDefault="00A12161" w:rsidP="00A121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2.3. A impossibilidade técnica e científica quanto ao cumprimento de qualquer fase do Plano de Trabalho que seja devidamente comprovada e justificada acarretará a suspensão de suas respectivas atividades até que haja convergência entre os PARTÍCIPES quanto à alteração, à adequação ou ao término do Plano de Trabalho e à consequente extinção deste Acordo.</w:t>
      </w:r>
    </w:p>
    <w:p w:rsidR="00A12161" w:rsidRPr="00A12161" w:rsidRDefault="00A12161" w:rsidP="00A12161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pt-PT" w:eastAsia="pt-PT"/>
        </w:rPr>
      </w:pP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hanging="226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2" w:name="_heading=h.38czs75" w:colFirst="0" w:colLast="0"/>
      <w:bookmarkEnd w:id="2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CLÁUSULA TERCEIRA - DAS ATRIBUIÇÕES E RESPONSABILIDADES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NOTA EXPLICATIVA: Cabe a cada partícipe especificar suas atribuições no Acordo, conforme o objeto que irá ser firmado e as obrigações que cada partícipe terá.</w:t>
      </w:r>
      <w:r w:rsidRPr="00A12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  <w:t xml:space="preserve"> </w:t>
      </w:r>
    </w:p>
    <w:p w:rsidR="00A12161" w:rsidRPr="00A12161" w:rsidRDefault="00A12161" w:rsidP="00A12161">
      <w:pPr>
        <w:widowControl w:val="0"/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3.1.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 São responsabilidades e obrigações, além dos outros compromissos assumidos neste Acordo de Cooperação em CT&amp;I: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pt-PT" w:eastAsia="pt-PT"/>
        </w:rPr>
        <w:t>3.1.1. Das obrigações comuns:</w:t>
      </w:r>
      <w:r w:rsidRPr="00A12161"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  <w:t> </w:t>
      </w:r>
      <w:proofErr w:type="gramStart"/>
      <w:r w:rsidRPr="00A12161"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  <w:t>a</w:t>
      </w:r>
      <w:proofErr w:type="gramEnd"/>
      <w:r w:rsidRPr="00A12161"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  <w:t>) responsabilizarem-se pelo sigilo das informações relacionadas ao objeto deste acordo com seus respectivos empregados/servidores e demais envolvidos que, direta ou indiretamente, a ela tenham acesso, de forma a garantir a confidencialidade das informações.  As informações relativas à TECNOLOGIA somente poderão ser reveladas mediante anuência formal da (indicar nome da ICT/Agência de Fomento);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>NOTA EXPLICATIVA:</w:t>
      </w:r>
      <w:r w:rsidRPr="00A12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  <w:t xml:space="preserve"> 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Colocar abaixo se há alguma exceção à obrigação do sigilo das informações estipulado na alínea acima.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</w:pPr>
      <w:proofErr w:type="gramStart"/>
      <w:r w:rsidRPr="00A12161"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  <w:t>b)</w:t>
      </w:r>
      <w:proofErr w:type="gramEnd"/>
      <w:r w:rsidRPr="00A12161"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  <w:t> na execução de objetos contratuais dentro do território nacional, os PARTÍCIPES comprometem-se a adotar as regras de sustentabilidade ambiental previstas na legislação interna brasileira.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  <w:t>c) as PARTÍCIPES se comprometem a conceder o acesso a todas as informações de natureza pública, realizando publicação dos resultados periodicamente (determinar período) e elencando quais as atividades desempenhadas por cada acordante, se for o caso.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pt-PT" w:eastAsia="pt-PT"/>
        </w:rPr>
        <w:t>3.1.2. Das obrigações da Entidade Pública: 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  <w:t>a) indicar um coordenador, no prazo de xxx dias úteis contados da assinatura deste Acordo, para acompanhar a sua execução;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33CC"/>
          <w:sz w:val="24"/>
          <w:szCs w:val="24"/>
          <w:lang w:val="pt-PT" w:eastAsia="pt-PT"/>
        </w:rPr>
        <w:t>b) prestar ao (s) PARTÍCIPES (s) informações sobre os recursos recebidos e a respectiva situação de execução dos projetos aprovados, nos termos deste Acordo;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>NOTA EXPLICATIVA:</w:t>
      </w:r>
      <w:r w:rsidRPr="00A12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  <w:t xml:space="preserve"> 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Recomenda-se apurada consulta ao plano de política de inovação e ainda, sem prejuízo de outros setores, uma consulta ao NIT que atende a instituição. 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pt-PT" w:eastAsia="pt-PT"/>
        </w:rPr>
        <w:lastRenderedPageBreak/>
        <w:t>3.1.3. Das obrigações do Parceiro Estrangeiro: 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a) Transferir os recursos financeiros acordados, segundo o Cronograma de Desembolso constante no Plano de Trabalho, por meio do aporte de recursos financeiros de sua responsabilidade;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b) Indicar representante, no prazo de xxx dias úteis contados da assinatura deste Acordo, para acompanhar a sua execução;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c) Colaborar, nos termos do plano de trabalho, para que o Acordo alcance os objetivos nele descritos;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3.2.  Os representantes dos partícipes poderão ser substituídos a qualquer tempo, competindo-lhes comunicar ao (s) outro (s) acerca desta alteração. 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3.3.  Os PARTÍCIPES são responsáveis, nos limites de suas obrigações, respondendo por perdas e danos quando causarem prejuízo em razão da inexecução do objeto do presente </w:t>
      </w: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Acordo</w:t>
      </w:r>
      <w:proofErr w:type="gramEnd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 de Cooperação para CT &amp; I ou de publicações a ele referentes. 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3" w:name="_heading=h.1nia2ey" w:colFirst="0" w:colLast="0"/>
      <w:bookmarkEnd w:id="3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CLÁUSULA QUARTA - DA EXECUÇÃO DO ACORDO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4.1. As ações necessárias à execução do (s) objeto(s) deste Acordo encontram-se no PLANO DE TRABALHO, que é parte integrante do presente ACORDO. 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 xml:space="preserve">NOTA EXPLICATIVA: 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Se houver necessidade de detalhamento de aspectos adicionais do acordo podem ser incluídas as subclásulas ou inseridas no plano de trabalho.</w:t>
      </w: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> </w:t>
      </w:r>
      <w:proofErr w:type="gramStart"/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  <w:proofErr w:type="gramEnd"/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4" w:name="_heading=h.47hxl2r" w:colFirst="0" w:colLast="0"/>
      <w:bookmarkEnd w:id="4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CLÁUSULA QUINTA - COMUNICAÇÃO ENTRE AS PARTÍCIPES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5.1. Qualquer comunicação ou notificação relacionada ao ACORDO poderá ser feita pelos PARTÍCIPES, por e-mail, fax, correio ou entregue pessoalmente, diretamente no respectivo endereço do PARTÍCIPE notificado.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5.2. Qualquer comunicação ou solicitação prevista neste ACORDO será considerada como tendo sido legalmente entregue: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5.2.1. Quando entregue em mãos a quem destinada, com o comprovante de recebimento;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5.2.2. Se enviada por correio, registrada ou certificada, porte pago e devidamente endereçada, quando recebida pelo destinatário ou no 5° (quinto) dia seguinte à data do despacho, o que </w:t>
      </w: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lastRenderedPageBreak/>
        <w:t>ocorrer primeiro;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5.2.3. Se enviada por fax, quando recebida pelo destinatário;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5.2.4. Se enviada por e-mail, desde que confirmado o recebimento pelo destinatário, ou, </w:t>
      </w: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após</w:t>
      </w:r>
      <w:proofErr w:type="gramEnd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 transcorridos 05 (cinco) dias úteis, o que ocorrer primeiro. Na hipótese de transcurso do prazo sem confirmação, será enviada cópia por correio, considerando-se, todavia, a notificação devidamente realizada.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5.3. Qualquer dos PARTÍCIPES poderá, mediante comunicação por escrito, alterar o endereço para o qual as comunicações ou solicitações deverão ser enviadas.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5" w:name="_heading=h.2mn7vak" w:colFirst="0" w:colLast="0"/>
      <w:bookmarkEnd w:id="5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CLÁUSULA SEXTA - DO USO DA BIODIVERSIDADE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6.1. No caso de atividades bilaterais que envolvam o uso de biodiversidade, os PARTÍCIPES concordam em observar suas respectivas legislações nacionais. 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6" w:name="_heading=h.11si5id" w:colFirst="0" w:colLast="0"/>
      <w:bookmarkEnd w:id="6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CLÁUSULA SÉTIMA - DA PROPRIEDADE INTELECTUAL 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numPr>
          <w:ilvl w:val="0"/>
          <w:numId w:val="3"/>
        </w:num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>NOTA EXPLICATIVA:</w:t>
      </w:r>
      <w:r w:rsidRPr="00A12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  <w:t xml:space="preserve"> 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As cláusulas sobre Propriedade Intelectual dependem da Política de Inovação da Instituição, uma vez que cada ente estabelece as regras, possibilidades, percentuais e formas de gerir seu patrimônio intelectual. </w:t>
      </w:r>
    </w:p>
    <w:p w:rsidR="00A12161" w:rsidRPr="00A12161" w:rsidRDefault="00A12161" w:rsidP="00A12161">
      <w:pPr>
        <w:widowControl w:val="0"/>
        <w:numPr>
          <w:ilvl w:val="0"/>
          <w:numId w:val="3"/>
        </w:num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  <w:t xml:space="preserve">Desta forma, as cláusulas a seguir servem como sugestões de redação cabendo a cada entidade adequar o texto do Acordo em conformidade com a sua Política de Inovação. 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7.1. Os PARTÍCIPES acordam que quaisquer direitos de propriedade intelectual, resultantes do processo de </w:t>
      </w: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implementação</w:t>
      </w:r>
      <w:proofErr w:type="gramEnd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 deste Acordo, serão regidos pelas legislações nacionais aplicáveis em cada país, bem como pelas convenções internacionais de propriedade intelectual das quais ambos os países sejam signatários e pelas cláusulas e condições aqui estabelecidas. 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 7.2.  Os direitos de propriedade intelectual sobre qualquer criação, que possam resultar das atividades relacionadas à cooperação prevista no âmbito deste Acordo, pertencerão às instituições que a desenvolverem e serão disciplinadas em instrumento próprio. 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 7.3. A participação nos resultados da exploração comercial dos direitos da propriedade intelectual, inclusive, na hipótese de transferência do direito de exploração a terceiros, será definida em instrumento próprio a ser elaborado de acordo com a vontade dos</w:t>
      </w: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  </w:t>
      </w:r>
      <w:proofErr w:type="gramEnd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PARTÍCIPES. 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lastRenderedPageBreak/>
        <w:t> </w:t>
      </w: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7.4. Todos os dados, técnicas, tecnologia, know-how, marcas, patentes e quaisquer outros bens ou direitos de propriedade intelectual/industrial de um partícipe que este venha a utilizar para execução do Projeto continuarão a ser de sua propriedade exclusiva, não podendo o outro partícipe cedê-los, transferi-los, aliená-los, divulgá-los ou empregá-los em quaisquer outros projetos ou sob qualquer outra forma sem o prévio consentimento escrito do seu proprietário.</w:t>
      </w:r>
    </w:p>
    <w:p w:rsidR="00A12161" w:rsidRPr="00A12161" w:rsidRDefault="00A12161" w:rsidP="00A1216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7.5. Todo resultado passível de proteção intelectual, em qualquer modalidade, proveniente da execução do presente Acordo de Cooperação, deverá ter a sua propriedade compartilhada entre os PARTÍCIPES, por meio de </w:t>
      </w:r>
      <w:r w:rsidRPr="00A121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PT" w:eastAsia="pt-PT"/>
        </w:rPr>
        <w:t>instrumento próprio</w:t>
      </w: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,</w:t>
      </w:r>
      <w:r w:rsidRPr="00A121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PT" w:eastAsia="pt-PT"/>
        </w:rPr>
        <w:t xml:space="preserve"> respeitando-se o percentual de x% (x por cento) para</w:t>
      </w:r>
      <w:r w:rsidRPr="00A12161">
        <w:rPr>
          <w:rFonts w:ascii="Times New Roman" w:eastAsia="Times New Roman" w:hAnsi="Times New Roman" w:cs="Times New Roman"/>
          <w:color w:val="445369"/>
          <w:sz w:val="24"/>
          <w:szCs w:val="24"/>
          <w:lang w:val="pt-PT" w:eastAsia="pt-PT"/>
        </w:rPr>
        <w:t xml:space="preserve"> o </w:t>
      </w:r>
      <w:r w:rsidRPr="00A121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PT" w:eastAsia="pt-PT"/>
        </w:rPr>
        <w:t>ICT/AGÊNCIA DE FOMENTO.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numPr>
          <w:ilvl w:val="0"/>
          <w:numId w:val="3"/>
        </w:num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>NOTA EXPLICATIVA: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 O percentual previsto na Clausula 7.5 deverá indicado pelo NIT, por meio de manifestação técnica fundamentada, conforme competências previstas no §1º, art. 16, da Lei nº 10.973/2004.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7.6.  O instrumento previsto na subcláusula 7.5 deverá observar os requisitos legais e formais necessários para sua celebração e averbação/registro junto aos órgãos competentes.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7.6.1. Eventuais impedimentos de um dos partícipes não prejudicará a titularidade e/ou a exploração dos direitos da Propriedade Intelectual pelos demais.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7.7. Os PARTÍCIPES devem assegurar, na medida de suas respectivas responsabilidades, que os projetos propostos e que a alocação dos recursos tecnológicos correspondentes não infrinjam direitos autorais, patentes ou outros direitos intelectuais, assim como direitos de terceiros.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7.8.  Na hipótese de eventual infração de qualquer direito de propriedade intelectual relacionada aos resultados, os PARTÍCIPES concordam que as medidas judiciais cabíveis visando coibir a infração do respectivo direito podem ser adotadas em conjunto ou separadamente.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7.9. Os depósitos de pedidos de proteção de propriedade intelectual devem ser iniciados necessariamente junto ao Instituto Nacional de Propriedade Industrial - INPI </w:t>
      </w:r>
      <w:r w:rsidRPr="00A121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PT" w:eastAsia="pt-PT"/>
        </w:rPr>
        <w:t>e registrados no sistema de acompanhamento da</w:t>
      </w:r>
      <w:proofErr w:type="gramStart"/>
      <w:r w:rsidRPr="00A121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PT" w:eastAsia="pt-PT"/>
        </w:rPr>
        <w:t xml:space="preserve">  </w:t>
      </w:r>
      <w:proofErr w:type="gramEnd"/>
      <w:r w:rsidRPr="00A121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PT" w:eastAsia="pt-PT"/>
        </w:rPr>
        <w:t xml:space="preserve">ICT/AGÊNCIA DE FOMENTO. 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7.10. Tanto no que se refere à proteção da propriedade intelectual quanto às medidas judiciais, os PARTÍCIPES definirão a forma como serão suportadas as despesas.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numPr>
          <w:ilvl w:val="0"/>
          <w:numId w:val="3"/>
        </w:num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>NOTA EXPLICATIVA</w:t>
      </w:r>
      <w:r w:rsidRPr="00A12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  <w:t>: 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os PARTÍCIPES devem acordar expressamente sobre qual tratamento </w:t>
      </w:r>
      <w:proofErr w:type="gramStart"/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deve</w:t>
      </w:r>
      <w:proofErr w:type="gramEnd"/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 ser dado as informações e resultados considerados confidenciais.</w:t>
      </w: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 xml:space="preserve"> 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CC"/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>NOTA EXPLICATIVA:</w:t>
      </w:r>
      <w:r w:rsidRPr="00A12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  <w:t> 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cada ICT deve avaliar as cláusulas de propriedade intelectual de acordo com sua respectiva Política de Inovação.</w:t>
      </w:r>
      <w:r w:rsidRPr="00A12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  <w:t> </w:t>
      </w:r>
      <w:proofErr w:type="gramStart"/>
      <w:r w:rsidRPr="00A12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keepNext/>
        <w:keepLines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1571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</w:pPr>
      <w:proofErr w:type="gramEnd"/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7" w:name="_heading=h.3ls5o66" w:colFirst="0" w:colLast="0"/>
      <w:bookmarkEnd w:id="7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CLÁUSULA OITAVA - DO FINANCIAMENTO DO OBJETO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8.1. Cada Parte tomará as medidas necessárias para obter os meios financeiros que assegurem a execução do objeto, conforme expressamente delineado no Plano de Trabalho – ANEXO. </w:t>
      </w:r>
      <w:proofErr w:type="gramStart"/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proofErr w:type="gramEnd"/>
    </w:p>
    <w:p w:rsidR="00A12161" w:rsidRPr="00A12161" w:rsidRDefault="00A12161" w:rsidP="00A12161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CC"/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 xml:space="preserve">NOTA EXPLICATIVA:  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se houver necessidade de detalhamento de aspectos adicionais do acordo relativas aos itens financiáveis, podem ser incluídas outras subclásulas, devendo repercutir no plano de trabalho.</w:t>
      </w: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> </w:t>
      </w:r>
      <w:proofErr w:type="gramStart"/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proofErr w:type="gramEnd"/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pt-PT" w:eastAsia="pt-PT"/>
        </w:rPr>
      </w:pPr>
      <w:bookmarkStart w:id="8" w:name="_heading=h.20xfydz" w:colFirst="0" w:colLast="0"/>
      <w:bookmarkEnd w:id="8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CLÁUSULA  NONA - DO SEGURO</w:t>
      </w:r>
      <w:r w:rsidRPr="00A1216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pt-PT" w:eastAsia="pt-PT"/>
        </w:rPr>
        <w:t xml:space="preserve"> </w:t>
      </w:r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MÉDICO-HOSPITALAR</w:t>
      </w:r>
      <w:r w:rsidRPr="00A1216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pt-PT" w:eastAsia="pt-PT"/>
        </w:rPr>
        <w:t>  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9.1. Caberá aos PARTÍCIPES contratar para os seus bolsistas/</w:t>
      </w: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especialistas/pesquisadores</w:t>
      </w:r>
      <w:proofErr w:type="gramEnd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 seguro de assistência médico-hospitalar, no caso de execução do objeto do presente Acordo fora do respectivo território nacional.</w:t>
      </w:r>
    </w:p>
    <w:p w:rsidR="00A12161" w:rsidRPr="00A12161" w:rsidRDefault="00A12161" w:rsidP="00A12161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9" w:name="_heading=h.4kx3h1s" w:colFirst="0" w:colLast="0"/>
      <w:bookmarkEnd w:id="9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CLÁUSULA DÉCIMA - DAS PROIBIÇÕES DE VÍNCULO EMPREGATÍCIO </w:t>
      </w:r>
      <w:r w:rsidRPr="00A121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PT" w:eastAsia="pt-PT"/>
        </w:rPr>
        <w:t> </w:t>
      </w:r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10.1. Na eventualidade de haver </w:t>
      </w: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bolsistas</w:t>
      </w:r>
      <w:proofErr w:type="gramEnd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/especialistas/pesquisadores visitantes, esses não poderão dedicar-se a atividades alheias ao objeto do acordo. 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CC"/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 xml:space="preserve"> NOTA EXPLICATIVA:  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cada ICT deverá avaliar o cabimento dessa cláusula, de acordo com o PLANO DE TRABALHO.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10.2. Não se estabelecerá nenhuma relação do tipo trabalhista ou estatutária entre os bolsistas/</w:t>
      </w: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especialistas/pesquisadores</w:t>
      </w:r>
      <w:proofErr w:type="gramEnd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 visitantes e as instituições titulares do presente acordo. </w:t>
      </w: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10" w:name="_heading=h.302dr9l" w:colFirst="0" w:colLast="0"/>
      <w:bookmarkEnd w:id="10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lastRenderedPageBreak/>
        <w:t>CLÁUSULA DÉCIMA PRIMEIRA - DOS REPRESENTANTES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11.1. Os PARTÍCIPES deverão nomear representantes, que serão responsáveis pela coordenação, execução e acompanhamento das atividades do presente instrumento, assim como pelas negociações exigidas para execução do objeto.</w:t>
      </w: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tabs>
          <w:tab w:val="left" w:pos="42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11.2. Os PARTÍCIPES</w:t>
      </w:r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 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comprometem-se a manter seus representantes com plenos poderes para o cumprimento de suas responsabilidades, segundo a presente cláusula, e a informar imediatamente</w:t>
      </w:r>
      <w:r w:rsidRPr="00A121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PT" w:eastAsia="pt-PT"/>
        </w:rPr>
        <w:t>,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 à outra parte, sua troca ou substituição.</w:t>
      </w: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</w:t>
      </w:r>
      <w:proofErr w:type="gramStart"/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proofErr w:type="gramEnd"/>
    </w:p>
    <w:p w:rsidR="00A12161" w:rsidRPr="00A12161" w:rsidRDefault="00A12161" w:rsidP="00A12161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CC"/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 xml:space="preserve">NOTA EXPLICATIVA: 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Nos casos da existência de representantes ou procuradores para celebrar a avença, o servidor público responsável deverá verificar, em primeiro lugar, se o outorgante da procuração ou mandato tinha poderes para outorgar e, em segundo lugar, se os poderes conferidos ao procurador dão-lhe autoridade para representar o outorgante na negociação e assinatura do contrato. Havendo vício na representação, o ato ou contrato poderá ser nulo ou </w:t>
      </w:r>
      <w:proofErr w:type="gramStart"/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anulável</w:t>
      </w:r>
      <w:proofErr w:type="gramEnd"/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 </w:t>
      </w: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11" w:name="_heading=h.1f7o1he" w:colFirst="0" w:colLast="0"/>
      <w:bookmarkEnd w:id="11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CLÁUSULA DÉCIMA SEGUNDA - DA VIGÊNCIA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12.1. O presente Acordo vigerá pelo prazo de XX meses/anos, a contar da data de sua assinatura, em conformidade com o PLANO DE TRABALHO, podendo ser prorrogado, por meio de termo aditivo.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 12.2. O pleno cumprimento do objeto implicará a extinção antecipada do presente acordo.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 </w:t>
      </w: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12" w:name="_heading=h.3z7bk57" w:colFirst="0" w:colLast="0"/>
      <w:bookmarkEnd w:id="12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CLÁUSULA DÉCIMA TERCEIRA - DAS ALTERAÇÕES 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13.1. O presente Acordo de Cooperação poderá ser alterado por mútuo consentimento entre os PARTÍCIPES. </w:t>
      </w: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proofErr w:type="gramEnd"/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13.2.</w:t>
      </w:r>
      <w:proofErr w:type="gramEnd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As alterações, porventura acordadas, serão efetivadas mediante Termo(s) Aditivo(s) e entrarão em vigor na data da assinatura do referido instrumento por ambas as PARTÍCIPES. 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13.3. Termo aditivo deverá ser antecedido de proposta a ser apresentada com antecedência mínima de xxx  dias corridos, anteriores ao término de sua vigência, fundamentada em razões </w:t>
      </w: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lastRenderedPageBreak/>
        <w:t>concretas que justifiquem a prorrogação. </w:t>
      </w:r>
    </w:p>
    <w:p w:rsidR="00A12161" w:rsidRPr="00A12161" w:rsidRDefault="00A12161" w:rsidP="00A12161">
      <w:pPr>
        <w:widowControl w:val="0"/>
        <w:tabs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CC"/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 xml:space="preserve"> NOTA EXPLICATIVA: 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O prazo ao qual se refere o item 13.3 dependerá do objeto do acordo a ser celebrado e da análise de risco para </w:t>
      </w:r>
      <w:proofErr w:type="gramStart"/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os PARTÍCIPES envolvidas</w:t>
      </w:r>
      <w:proofErr w:type="gramEnd"/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, podendo variar de acordo com cada caso concreto.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 </w:t>
      </w: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13" w:name="_heading=h.2eclud0" w:colFirst="0" w:colLast="0"/>
      <w:bookmarkEnd w:id="13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 xml:space="preserve">CLÁUSULA DÉCIMA QUARTA - DA EXECUÇÃO, DO ACOMPANHAMENTO E DA PRESTAÇÃO DE </w:t>
      </w:r>
      <w:proofErr w:type="gramStart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CONTAS</w:t>
      </w:r>
      <w:proofErr w:type="gramEnd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70C0"/>
          <w:sz w:val="24"/>
          <w:szCs w:val="24"/>
          <w:lang w:val="pt-PT" w:eastAsia="pt-PT"/>
        </w:rPr>
        <w:t>14.1. Os PARTÍCIPES exercerão a fiscalização técnico-financeira das atividades do presente acordo, dentro do prazo de sua vigência. </w:t>
      </w:r>
      <w:proofErr w:type="gramStart"/>
      <w:r w:rsidRPr="00A12161">
        <w:rPr>
          <w:rFonts w:ascii="Times New Roman" w:eastAsia="Times New Roman" w:hAnsi="Times New Roman" w:cs="Times New Roman"/>
          <w:color w:val="0070C0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pt-PT" w:eastAsia="pt-PT"/>
        </w:rPr>
      </w:pPr>
      <w:proofErr w:type="gramEnd"/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70C0"/>
          <w:sz w:val="24"/>
          <w:szCs w:val="24"/>
          <w:lang w:val="pt-PT" w:eastAsia="pt-PT"/>
        </w:rPr>
        <w:t> 14.2. Anualmente (ou ao término do prazo de vigência ou semestralmente) deverão os PARTÍCIPES apresentar relatório de cumprimento de objeto, consolidando dados e valores das ações desenvolvidas.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CC"/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 xml:space="preserve"> NOTA EXPLICATIVA: 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O prazo ao qual se refere o item 14.2 dependerá do objeto do acordo a ser celebrado e da análise de risco para </w:t>
      </w:r>
      <w:proofErr w:type="gramStart"/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os PARTÍCIPES envolvidas</w:t>
      </w:r>
      <w:proofErr w:type="gramEnd"/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, podendo variar de acordo com cada caso concreto.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14" w:name="_heading=h.thw4kt" w:colFirst="0" w:colLast="0"/>
      <w:bookmarkEnd w:id="14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CLÁUSULA DÉCIMA QUINTA - DA DENÚNCIA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15.1. Este Acordo de Cooperação poderá, a qualquer tempo, ser denunciado pelos PARTÍCIPES, devendo o interessado externar formalmente a sua intenção nesse sentido, com a antecedência mínima de XXX dias da data em que se pretenda que sejam encerradas as atividades.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15.2. Os PARTÍCIPES deverão respeitar as obrigações assumidas com terceiros, mantendo em seus orçamentos as dotações destinadas às referidas atividades pelo prazo de suas execuções.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15.3. O direito à Propriedade Intelectual, conforme já disciplinado neste instrumento, incidirá sobre toda a criação, estudo ou resultados obtidos até o momento da rescisão do presente acordo. </w:t>
      </w: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proofErr w:type="gramEnd"/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226" w:hanging="226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15" w:name="_heading=h.3dhjn8m" w:colFirst="0" w:colLast="0"/>
      <w:bookmarkEnd w:id="15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lastRenderedPageBreak/>
        <w:t>CLÁUSULA DÉCIMA SEXTA - DA SOLUÇÃO DE CONTROVÉRSIAS</w:t>
      </w:r>
    </w:p>
    <w:p w:rsidR="00A12161" w:rsidRPr="00A12161" w:rsidRDefault="00A12161" w:rsidP="00A12161">
      <w:pPr>
        <w:keepNext/>
        <w:keepLines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ind w:left="1571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16.1. Na hipótese de surgirem controvérsias e/ou </w:t>
      </w: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litígios originários do presente acordo</w:t>
      </w:r>
      <w:proofErr w:type="gramEnd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 de Cooperação, inclusive no que se refere à sua interpretação, execução ou inexecução, notadamente direitos e obrigações aqui estipulados, os PARTÍCIPES comprometem-se, de forma irrevogável e irretratável, constituir uma comissão conjunta com integrantes de todas as instituições envolvidas para, mediante negociação direta ou por troca de correspondência, obter solução definitiva da controvérsia.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CC"/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 xml:space="preserve"> NOTA EXPLICATIVA: 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outros mecanismos de solução de controvérsias, a exemplo da arbitragem, poderão ser adotados a depender do objeto do acordo a ser celebrado e da análise de risco para os PARTÍCIPES envolvidos.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16" w:name="_heading=h.1smtxgf" w:colFirst="0" w:colLast="0"/>
      <w:bookmarkEnd w:id="16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   CLÁUSULA DÉCIMA SÉTIMA - DA AUSÊNCIA DE RESPONSABILIDADE SOLIDARIA OU SUBSIDIÁRIA DA UNIÃO FEDERAL 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17.1. O presente acordo celebrado entre os PARTÍCIPES, descrito na Cláusula Primeira do presente instrumento, não enseja nenhum tipo de responsabilidade e obrigação principal ou acessória à República Federativa do Brasil, sendo o compromisso e suas consequências de responsabilidade única dos PARTÍCIPES. </w:t>
      </w:r>
      <w:proofErr w:type="gramStart"/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 </w:t>
      </w:r>
      <w:proofErr w:type="gramEnd"/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17" w:name="_heading=h.4cmhg48" w:colFirst="0" w:colLast="0"/>
      <w:bookmarkEnd w:id="17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CLAUSULA DÉCIMA SEXTA – DOS BENS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18.1. Após execução integral do objeto desse acordo, os bens patrimoniais, materiais permanentes ou equipamentos adquiridos serão revertidos à ICT, diretamente ao campus envolvido, por meio de Termo de Doação. (CLAÚSULA PARA AS ICTs)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 xml:space="preserve">18.2. Os bens gerados ou adquiridos no âmbito dos projetos de estímulo à ciência, à tecnologia e à inovação deste Acordo de Cooperação serão </w:t>
      </w:r>
      <w:proofErr w:type="gramStart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incorporados, desde sua aquisição, ao patrimônio da ICT a que o pesquisador for vinculado</w:t>
      </w:r>
      <w:proofErr w:type="gramEnd"/>
      <w:r w:rsidRPr="00A12161"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  <w:t>. (CLÁUSULA PARA AS AGÊNCIAS DE FOMENTO)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CC"/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PT" w:eastAsia="pt-PT"/>
        </w:rPr>
        <w:t xml:space="preserve"> NOTA EXPLICATIVA: 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>Em razão das diversas possibilidades para celebração do Acordo de Cooperação Internacional, se houver uso de bens públicos, o instrumento</w:t>
      </w:r>
      <w:proofErr w:type="gramStart"/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  </w:t>
      </w:r>
      <w:proofErr w:type="gramEnd"/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t xml:space="preserve">deverá </w:t>
      </w:r>
      <w:r w:rsidRPr="00A12161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PT"/>
        </w:rPr>
        <w:lastRenderedPageBreak/>
        <w:t>prever regras dispostas no decreto n.º 9.283/2018 sobre o tema, sendo relevante dispor sobre uso, manutenção e devolução de bens móveis e imóveis.</w:t>
      </w:r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 xml:space="preserve"> 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keepNext/>
        <w:keepLines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pt-PT" w:eastAsia="pt-PT"/>
        </w:rPr>
      </w:pPr>
      <w:bookmarkStart w:id="18" w:name="_heading=h.2rrrqc1" w:colFirst="0" w:colLast="0"/>
      <w:bookmarkEnd w:id="18"/>
      <w:r w:rsidRPr="00A12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PT" w:eastAsia="pt-PT"/>
        </w:rPr>
        <w:t>CLÁUSULA DÉCIMA OITAVA - DAS DISPOSIÇÕES FINAIS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19.1. Os PARTÍCIPES não serão responsabilizados pelo descumprimento dos compromissos por motivo de caso fortuito ou força maior. 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E como prova de assim haverem livremente pactuado, firmam os PARTÍCIPES o presente instrumento em </w:t>
      </w:r>
      <w:proofErr w:type="gramStart"/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3</w:t>
      </w:r>
      <w:proofErr w:type="gramEnd"/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 (três) vias, de igual teor e forma, para que produza entre si os efeitos legais.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 xml:space="preserve">Cidade/UF, dia de mês de </w:t>
      </w:r>
      <w:proofErr w:type="gramStart"/>
      <w:r w:rsidRPr="00A12161"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  <w:t>ano</w:t>
      </w:r>
      <w:bookmarkStart w:id="19" w:name="_GoBack"/>
      <w:bookmarkEnd w:id="19"/>
      <w:proofErr w:type="gramEnd"/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proofErr w:type="gramStart"/>
      <w:r w:rsidRPr="00A12161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Pelo(</w:t>
      </w:r>
      <w:proofErr w:type="gramEnd"/>
      <w:r w:rsidRPr="00A12161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 xml:space="preserve">a) </w:t>
      </w:r>
      <w:r w:rsidRPr="00A121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t-PT" w:eastAsia="pt-PT"/>
        </w:rPr>
        <w:t>ICT/AGÊNCIA DE FOMENTO</w:t>
      </w:r>
      <w:r w:rsidRPr="00A12161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: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Nome do representante legal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proofErr w:type="gramStart"/>
      <w:r w:rsidRPr="00A12161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cargo</w:t>
      </w:r>
      <w:proofErr w:type="gramEnd"/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</w:pPr>
      <w:proofErr w:type="gramStart"/>
      <w:r w:rsidRPr="00A12161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Pelo(</w:t>
      </w:r>
      <w:proofErr w:type="gramEnd"/>
      <w:r w:rsidRPr="00A12161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a) PARCEIRO ESTRANGEIRO: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A12161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Nome do representante legal</w:t>
      </w:r>
    </w:p>
    <w:p w:rsidR="00A12161" w:rsidRPr="00A12161" w:rsidRDefault="00A12161" w:rsidP="00A12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pt-PT" w:eastAsia="pt-PT"/>
        </w:rPr>
      </w:pPr>
      <w:proofErr w:type="gramStart"/>
      <w:r w:rsidRPr="00A12161">
        <w:rPr>
          <w:rFonts w:ascii="Times New Roman" w:eastAsia="Times New Roman" w:hAnsi="Times New Roman" w:cs="Times New Roman"/>
          <w:b/>
          <w:sz w:val="24"/>
          <w:szCs w:val="24"/>
          <w:lang w:val="pt-PT" w:eastAsia="pt-PT"/>
        </w:rPr>
        <w:t>cargo</w:t>
      </w:r>
      <w:proofErr w:type="gramEnd"/>
    </w:p>
    <w:p w:rsidR="000C23A7" w:rsidRPr="00A12161" w:rsidRDefault="000C23A7" w:rsidP="00A12161"/>
    <w:sectPr w:rsidR="000C23A7" w:rsidRPr="00A12161" w:rsidSect="008A4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37" w:rsidRDefault="001A5437" w:rsidP="003120A7">
      <w:pPr>
        <w:spacing w:after="0" w:line="240" w:lineRule="auto"/>
      </w:pPr>
      <w:r>
        <w:separator/>
      </w:r>
    </w:p>
  </w:endnote>
  <w:endnote w:type="continuationSeparator" w:id="0">
    <w:p w:rsidR="001A5437" w:rsidRDefault="001A5437" w:rsidP="0031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A7" w:rsidRPr="00E54A0E" w:rsidRDefault="003120A7" w:rsidP="003120A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54A0E">
      <w:rPr>
        <w:rFonts w:ascii="Times New Roman" w:hAnsi="Times New Roman" w:cs="Times New Roman"/>
        <w:sz w:val="18"/>
        <w:szCs w:val="18"/>
      </w:rPr>
      <w:t>Fonte: CÂMARA PERMANENTE DE CIÊNCIA, TECNOLOGIA E INOVAÇÃO (CP-CT&amp;I</w:t>
    </w:r>
    <w:proofErr w:type="gramStart"/>
    <w:r w:rsidRPr="00E54A0E">
      <w:rPr>
        <w:rFonts w:ascii="Times New Roman" w:hAnsi="Times New Roman" w:cs="Times New Roman"/>
        <w:sz w:val="18"/>
        <w:szCs w:val="18"/>
      </w:rPr>
      <w:t>)</w:t>
    </w:r>
    <w:proofErr w:type="gramEnd"/>
  </w:p>
  <w:p w:rsidR="003120A7" w:rsidRPr="00E54A0E" w:rsidRDefault="003120A7" w:rsidP="003120A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54A0E">
      <w:rPr>
        <w:rFonts w:ascii="Times New Roman" w:hAnsi="Times New Roman" w:cs="Times New Roman"/>
        <w:sz w:val="18"/>
        <w:szCs w:val="18"/>
      </w:rPr>
      <w:t>PROCURADORIA-GERAL FEDERAL (PGF)</w:t>
    </w:r>
  </w:p>
  <w:p w:rsidR="003120A7" w:rsidRPr="00E54A0E" w:rsidRDefault="003120A7" w:rsidP="003120A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54A0E">
      <w:rPr>
        <w:rFonts w:ascii="Times New Roman" w:hAnsi="Times New Roman" w:cs="Times New Roman"/>
        <w:sz w:val="18"/>
        <w:szCs w:val="18"/>
      </w:rPr>
      <w:t>Junho/2020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37" w:rsidRDefault="001A5437" w:rsidP="003120A7">
      <w:pPr>
        <w:spacing w:after="0" w:line="240" w:lineRule="auto"/>
      </w:pPr>
      <w:r>
        <w:separator/>
      </w:r>
    </w:p>
  </w:footnote>
  <w:footnote w:type="continuationSeparator" w:id="0">
    <w:p w:rsidR="001A5437" w:rsidRDefault="001A5437" w:rsidP="0031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E" w:rsidRDefault="00E54A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7AA"/>
    <w:multiLevelType w:val="multilevel"/>
    <w:tmpl w:val="D6DC494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b w:val="0"/>
        <w:i w:val="0"/>
        <w:color w:val="000000"/>
      </w:rPr>
    </w:lvl>
    <w:lvl w:ilvl="2">
      <w:start w:val="1"/>
      <w:numFmt w:val="upperRoman"/>
      <w:lvlText w:val="%3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B340E"/>
    <w:multiLevelType w:val="multilevel"/>
    <w:tmpl w:val="7194ABC6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1">
      <w:start w:val="2"/>
      <w:numFmt w:val="decimal"/>
      <w:lvlText w:val="%1.%2."/>
      <w:lvlJc w:val="left"/>
      <w:pPr>
        <w:ind w:left="975" w:hanging="61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07AC034C"/>
    <w:multiLevelType w:val="multilevel"/>
    <w:tmpl w:val="771E2960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</w:rPr>
    </w:lvl>
  </w:abstractNum>
  <w:abstractNum w:abstractNumId="3">
    <w:nsid w:val="0A6614E1"/>
    <w:multiLevelType w:val="multilevel"/>
    <w:tmpl w:val="70504E5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3211789D"/>
    <w:multiLevelType w:val="multilevel"/>
    <w:tmpl w:val="C58E6A7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upp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color w:val="231F20"/>
        <w:sz w:val="20"/>
        <w:szCs w:val="2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3F112A66"/>
    <w:multiLevelType w:val="multilevel"/>
    <w:tmpl w:val="9DA8D45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2864C9C"/>
    <w:multiLevelType w:val="multilevel"/>
    <w:tmpl w:val="99920CF6"/>
    <w:lvl w:ilvl="0">
      <w:start w:val="1"/>
      <w:numFmt w:val="decimal"/>
      <w:lvlText w:val="%1."/>
      <w:lvlJc w:val="left"/>
      <w:pPr>
        <w:ind w:left="993" w:hanging="993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993" w:hanging="993"/>
      </w:pPr>
      <w:rPr>
        <w:rFonts w:ascii="Times New Roman" w:eastAsia="Times New Roman" w:hAnsi="Times New Roman" w:cs="Times New Roman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ascii="Times New Roman" w:eastAsia="Times New Roman" w:hAnsi="Times New Roman" w:cs="Times New Roman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5B"/>
    <w:rsid w:val="000C23A7"/>
    <w:rsid w:val="000D7E62"/>
    <w:rsid w:val="001A5437"/>
    <w:rsid w:val="001E70D5"/>
    <w:rsid w:val="00254D73"/>
    <w:rsid w:val="003120A7"/>
    <w:rsid w:val="0076259D"/>
    <w:rsid w:val="008A4D56"/>
    <w:rsid w:val="00924FAC"/>
    <w:rsid w:val="00A12161"/>
    <w:rsid w:val="00B06860"/>
    <w:rsid w:val="00B06E2B"/>
    <w:rsid w:val="00D0715B"/>
    <w:rsid w:val="00DD56EA"/>
    <w:rsid w:val="00E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0A7"/>
  </w:style>
  <w:style w:type="paragraph" w:styleId="Rodap">
    <w:name w:val="footer"/>
    <w:basedOn w:val="Normal"/>
    <w:link w:val="RodapChar"/>
    <w:uiPriority w:val="99"/>
    <w:unhideWhenUsed/>
    <w:rsid w:val="0031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0A7"/>
  </w:style>
  <w:style w:type="paragraph" w:styleId="Rodap">
    <w:name w:val="footer"/>
    <w:basedOn w:val="Normal"/>
    <w:link w:val="RodapChar"/>
    <w:uiPriority w:val="99"/>
    <w:unhideWhenUsed/>
    <w:rsid w:val="0031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3072</Words>
  <Characters>16592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Santos</dc:creator>
  <cp:lastModifiedBy>Cris Santos</cp:lastModifiedBy>
  <cp:revision>2</cp:revision>
  <cp:lastPrinted>2021-01-06T15:37:00Z</cp:lastPrinted>
  <dcterms:created xsi:type="dcterms:W3CDTF">2021-01-06T18:20:00Z</dcterms:created>
  <dcterms:modified xsi:type="dcterms:W3CDTF">2021-01-06T18:20:00Z</dcterms:modified>
</cp:coreProperties>
</file>